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626AB" w:rsidR="008C3332" w:rsidP="006F4E72" w:rsidRDefault="006F4E72" w14:paraId="0A60D678" w14:textId="3190E3EC">
      <w:pPr>
        <w:pStyle w:val="Titre1"/>
      </w:pPr>
      <w:r w:rsidRPr="009626AB">
        <w:t xml:space="preserve">Citizenfund – modifications </w:t>
      </w:r>
      <w:r w:rsidRPr="009626AB" w:rsidR="00D51381">
        <w:t>STATUTAIRES PROPOSEES</w:t>
      </w:r>
    </w:p>
    <w:p w:rsidRPr="009626AB" w:rsidR="006F4E72" w:rsidP="006F4E72" w:rsidRDefault="006F4E72" w14:paraId="112C7FCF" w14:textId="77777777"/>
    <w:p w:rsidRPr="009626AB" w:rsidR="006F4E72" w:rsidP="00210211" w:rsidRDefault="008344ED" w14:paraId="1E2F6194" w14:textId="2A736A11">
      <w:pPr>
        <w:pStyle w:val="Titre2"/>
      </w:pPr>
      <w:r w:rsidRPr="009626AB">
        <w:t>Justifications des modifications proposées</w:t>
      </w:r>
    </w:p>
    <w:p w:rsidRPr="009626AB" w:rsidR="00210211" w:rsidP="006F4E72" w:rsidRDefault="00210211" w14:paraId="4A5D7A57" w14:textId="77777777"/>
    <w:p w:rsidR="006F4E72" w:rsidP="006F4E72" w:rsidRDefault="006F4E72" w14:paraId="10E56CAD" w14:textId="18FB230A">
      <w:pPr>
        <w:rPr>
          <w:lang w:val="fr-FR"/>
        </w:rPr>
      </w:pPr>
      <w:r>
        <w:rPr>
          <w:lang w:val="fr-FR"/>
        </w:rPr>
        <w:t>Les modifications des statuts proposées ci-dessous ont pour finalité de faciliter l’obtention par Citizenfund de d</w:t>
      </w:r>
      <w:r w:rsidR="00CA5CAB">
        <w:rPr>
          <w:lang w:val="fr-FR"/>
        </w:rPr>
        <w:t>eux</w:t>
      </w:r>
      <w:r>
        <w:rPr>
          <w:lang w:val="fr-FR"/>
        </w:rPr>
        <w:t xml:space="preserve"> agréments qui pourront se révéler utiles à son développement futur. Il s’agit de :</w:t>
      </w:r>
    </w:p>
    <w:p w:rsidR="00C50644" w:rsidP="006F4E72" w:rsidRDefault="00C50644" w14:paraId="08D62F1B" w14:textId="77777777">
      <w:pPr>
        <w:rPr>
          <w:lang w:val="fr-FR"/>
        </w:rPr>
      </w:pPr>
    </w:p>
    <w:p w:rsidR="006F4E72" w:rsidP="006F4E72" w:rsidRDefault="006F4E72" w14:paraId="25E08F55" w14:textId="1B5ECA66">
      <w:pPr>
        <w:pStyle w:val="Paragraphedeliste"/>
        <w:numPr>
          <w:ilvl w:val="0"/>
          <w:numId w:val="1"/>
        </w:numPr>
        <w:rPr>
          <w:lang w:val="fr-FR"/>
        </w:rPr>
      </w:pPr>
      <w:r>
        <w:rPr>
          <w:lang w:val="fr-FR"/>
        </w:rPr>
        <w:t xml:space="preserve">l’agrément fédéral comme </w:t>
      </w:r>
      <w:r w:rsidR="00C50644">
        <w:rPr>
          <w:lang w:val="fr-FR"/>
        </w:rPr>
        <w:t xml:space="preserve">société coopérative agréée </w:t>
      </w:r>
      <w:r>
        <w:rPr>
          <w:lang w:val="fr-FR"/>
        </w:rPr>
        <w:t>« entreprise sociale » cf. L’AR du 28 juin 2019 fixant les conditions d’agrément comme entreprise agricole et comme entreprise sociale ;</w:t>
      </w:r>
    </w:p>
    <w:p w:rsidRPr="006F4E72" w:rsidR="00C50644" w:rsidP="006F4E72" w:rsidRDefault="00C50644" w14:paraId="06DB8874" w14:textId="774FE724">
      <w:pPr>
        <w:pStyle w:val="Paragraphedeliste"/>
        <w:numPr>
          <w:ilvl w:val="0"/>
          <w:numId w:val="1"/>
        </w:numPr>
        <w:rPr>
          <w:lang w:val="fr-FR"/>
        </w:rPr>
      </w:pPr>
      <w:r>
        <w:rPr>
          <w:lang w:val="fr-FR"/>
        </w:rPr>
        <w:t>l’agrément régional bruxellois comme « coopérative de crédit agréée »</w:t>
      </w:r>
      <w:r w:rsidR="001D7F62">
        <w:rPr>
          <w:lang w:val="fr-FR"/>
        </w:rPr>
        <w:t xml:space="preserve"> cf. l’Ordonnance du 17 mars 2023 mobilisant l’épargne citoyenne au bénéfice de la relance et de la transition économique ainsi que l’Arrêté </w:t>
      </w:r>
      <w:r w:rsidR="00D51381">
        <w:rPr>
          <w:lang w:val="fr-FR"/>
        </w:rPr>
        <w:t xml:space="preserve">du </w:t>
      </w:r>
      <w:r w:rsidR="001D7F62">
        <w:rPr>
          <w:lang w:val="fr-FR"/>
        </w:rPr>
        <w:t>G</w:t>
      </w:r>
      <w:r w:rsidR="00D51381">
        <w:rPr>
          <w:lang w:val="fr-FR"/>
        </w:rPr>
        <w:t xml:space="preserve">ouvernement de la </w:t>
      </w:r>
      <w:r w:rsidR="001D7F62">
        <w:rPr>
          <w:lang w:val="fr-FR"/>
        </w:rPr>
        <w:t>RBC di 8 février 2024 portant exécution de cette Ordonnance.</w:t>
      </w:r>
    </w:p>
    <w:p w:rsidR="006F4E72" w:rsidRDefault="006F4E72" w14:paraId="1AA03026" w14:textId="77777777">
      <w:pPr>
        <w:rPr>
          <w:lang w:val="fr-FR"/>
        </w:rPr>
      </w:pPr>
    </w:p>
    <w:p w:rsidR="001D7F62" w:rsidRDefault="001D7F62" w14:paraId="2D9EA824" w14:textId="12FF3CB5">
      <w:pPr>
        <w:rPr>
          <w:lang w:val="fr-FR"/>
        </w:rPr>
      </w:pPr>
      <w:r>
        <w:rPr>
          <w:lang w:val="fr-FR"/>
        </w:rPr>
        <w:t>Ces agréments offrent certains avantages et ouvrent certaines possibilités.</w:t>
      </w:r>
    </w:p>
    <w:p w:rsidR="001D7F62" w:rsidP="001D7F62" w:rsidRDefault="001D7F62" w14:paraId="4407254D" w14:textId="7C48F0C1">
      <w:pPr>
        <w:rPr>
          <w:lang w:val="fr-FR"/>
        </w:rPr>
      </w:pPr>
    </w:p>
    <w:p w:rsidR="007002C2" w:rsidP="001D7F62" w:rsidRDefault="00CA5CAB" w14:paraId="358A3467" w14:textId="7FA6D66F">
      <w:pPr>
        <w:rPr>
          <w:lang w:val="fr-FR"/>
        </w:rPr>
      </w:pPr>
      <w:r>
        <w:rPr>
          <w:i/>
          <w:iCs/>
          <w:lang w:val="fr-FR"/>
        </w:rPr>
        <w:t>D</w:t>
      </w:r>
      <w:r>
        <w:rPr>
          <w:i/>
          <w:iCs/>
          <w:lang w:val="fr-FR"/>
        </w:rPr>
        <w:t xml:space="preserve">éjà acquis par </w:t>
      </w:r>
      <w:r w:rsidRPr="00B77E0E">
        <w:rPr>
          <w:i/>
          <w:iCs/>
          <w:lang w:val="fr-FR"/>
        </w:rPr>
        <w:t>Citizenfund</w:t>
      </w:r>
      <w:r>
        <w:rPr>
          <w:i/>
          <w:iCs/>
          <w:lang w:val="fr-FR"/>
        </w:rPr>
        <w:t>,</w:t>
      </w:r>
      <w:r>
        <w:rPr>
          <w:lang w:val="fr-FR"/>
        </w:rPr>
        <w:t xml:space="preserve"> </w:t>
      </w:r>
      <w:r>
        <w:rPr>
          <w:lang w:val="fr-FR"/>
        </w:rPr>
        <w:t>l</w:t>
      </w:r>
      <w:r w:rsidR="001D7F62">
        <w:rPr>
          <w:lang w:val="fr-FR"/>
        </w:rPr>
        <w:t xml:space="preserve">’agrément </w:t>
      </w:r>
      <w:r w:rsidRPr="00EE38C4" w:rsidR="001D7F62">
        <w:rPr>
          <w:lang w:val="fr-FR"/>
        </w:rPr>
        <w:t>fédéral</w:t>
      </w:r>
      <w:r w:rsidR="001D7F62">
        <w:rPr>
          <w:lang w:val="fr-FR"/>
        </w:rPr>
        <w:t xml:space="preserve"> comme </w:t>
      </w:r>
      <w:r w:rsidRPr="00CA5CAB" w:rsidR="001D7F62">
        <w:rPr>
          <w:i/>
          <w:iCs/>
          <w:u w:val="single"/>
          <w:lang w:val="fr-FR"/>
        </w:rPr>
        <w:t>société coopérative</w:t>
      </w:r>
      <w:r w:rsidR="001D7F62">
        <w:rPr>
          <w:lang w:val="fr-FR"/>
        </w:rPr>
        <w:t xml:space="preserve"> </w:t>
      </w:r>
      <w:r w:rsidR="007002C2">
        <w:rPr>
          <w:lang w:val="fr-FR"/>
        </w:rPr>
        <w:t>ouvre le droit</w:t>
      </w:r>
      <w:r w:rsidR="00287553">
        <w:rPr>
          <w:lang w:val="fr-FR"/>
        </w:rPr>
        <w:t xml:space="preserve"> à</w:t>
      </w:r>
      <w:r w:rsidR="007002C2">
        <w:rPr>
          <w:lang w:val="fr-FR"/>
        </w:rPr>
        <w:t> :</w:t>
      </w:r>
    </w:p>
    <w:p w:rsidR="00B77E0E" w:rsidP="001D7F62" w:rsidRDefault="00B77E0E" w14:paraId="2CC9EDC8" w14:textId="77777777">
      <w:pPr>
        <w:rPr>
          <w:lang w:val="fr-FR"/>
        </w:rPr>
      </w:pPr>
    </w:p>
    <w:p w:rsidR="007002C2" w:rsidP="007002C2" w:rsidRDefault="007002C2" w14:paraId="77E5ABC1" w14:textId="280965BC">
      <w:pPr>
        <w:pStyle w:val="Paragraphedeliste"/>
        <w:numPr>
          <w:ilvl w:val="0"/>
          <w:numId w:val="1"/>
        </w:numPr>
        <w:rPr>
          <w:lang w:val="fr-FR"/>
        </w:rPr>
      </w:pPr>
      <w:r w:rsidRPr="65007679" w:rsidR="007002C2">
        <w:rPr>
          <w:lang w:val="fr-FR"/>
        </w:rPr>
        <w:t>l’application</w:t>
      </w:r>
      <w:r w:rsidRPr="65007679" w:rsidR="007002C2">
        <w:rPr>
          <w:lang w:val="fr-FR"/>
        </w:rPr>
        <w:t xml:space="preserve"> étendue du tarif r</w:t>
      </w:r>
      <w:r w:rsidRPr="65007679" w:rsidR="007002C2">
        <w:rPr>
          <w:lang w:val="fr-FR"/>
        </w:rPr>
        <w:t>é</w:t>
      </w:r>
      <w:r w:rsidRPr="65007679" w:rsidR="007002C2">
        <w:rPr>
          <w:lang w:val="fr-FR"/>
        </w:rPr>
        <w:t xml:space="preserve">duit à l’impôt des sociétés pour les sociétés dont le revenu imposable n’excède pas 100.000 € </w:t>
      </w:r>
      <w:r w:rsidRPr="65007679" w:rsidR="007002C2">
        <w:rPr>
          <w:lang w:val="fr-FR"/>
        </w:rPr>
        <w:t>(</w:t>
      </w:r>
      <w:r w:rsidRPr="65007679" w:rsidR="003C2C17">
        <w:rPr>
          <w:lang w:val="fr-FR"/>
        </w:rPr>
        <w:t xml:space="preserve">CIR </w:t>
      </w:r>
      <w:r w:rsidR="007002C2">
        <w:rPr/>
        <w:t>215, a</w:t>
      </w:r>
      <w:r w:rsidR="003C2C17">
        <w:rPr/>
        <w:t>l</w:t>
      </w:r>
      <w:r w:rsidR="007002C2">
        <w:rPr/>
        <w:t xml:space="preserve"> 2, 1°, 2° et 4°)</w:t>
      </w:r>
      <w:r w:rsidR="007002C2">
        <w:rPr/>
        <w:t> ;</w:t>
      </w:r>
    </w:p>
    <w:p w:rsidRPr="00287553" w:rsidR="001D7F62" w:rsidP="00287553" w:rsidRDefault="007002C2" w14:paraId="4ECE07D1" w14:textId="261E7B6D">
      <w:pPr>
        <w:pStyle w:val="Paragraphedeliste"/>
        <w:numPr>
          <w:ilvl w:val="0"/>
          <w:numId w:val="1"/>
        </w:numPr>
        <w:rPr>
          <w:lang w:val="fr-FR"/>
        </w:rPr>
      </w:pPr>
      <w:r w:rsidRPr="65007679" w:rsidR="007002C2">
        <w:rPr>
          <w:lang w:val="fr-FR"/>
        </w:rPr>
        <w:t>l’exonération</w:t>
      </w:r>
      <w:r w:rsidRPr="65007679" w:rsidR="007002C2">
        <w:rPr>
          <w:lang w:val="fr-FR"/>
        </w:rPr>
        <w:t xml:space="preserve"> </w:t>
      </w:r>
      <w:r w:rsidRPr="65007679" w:rsidR="00287553">
        <w:rPr>
          <w:lang w:val="fr-FR"/>
        </w:rPr>
        <w:t xml:space="preserve">de l’impôt des sociétés dû sur les dividendes distribués </w:t>
      </w:r>
      <w:r w:rsidRPr="65007679" w:rsidR="007002C2">
        <w:rPr>
          <w:lang w:val="fr-FR"/>
        </w:rPr>
        <w:t xml:space="preserve">aux associés personnes physiques jusqu’à concurrence d’un montant de 200 € par personne physique </w:t>
      </w:r>
      <w:r w:rsidRPr="65007679" w:rsidR="007002C2">
        <w:rPr>
          <w:lang w:val="fr-FR"/>
        </w:rPr>
        <w:t>(</w:t>
      </w:r>
      <w:r w:rsidRPr="65007679" w:rsidR="003C2C17">
        <w:rPr>
          <w:lang w:val="fr-FR"/>
        </w:rPr>
        <w:t>CIR 185 ;</w:t>
      </w:r>
      <w:r w:rsidRPr="65007679" w:rsidR="007002C2">
        <w:rPr>
          <w:lang w:val="fr-FR"/>
        </w:rPr>
        <w:t xml:space="preserve"> indexé)</w:t>
      </w:r>
      <w:r w:rsidRPr="65007679" w:rsidR="007002C2">
        <w:rPr>
          <w:lang w:val="fr-FR"/>
        </w:rPr>
        <w:t> ;</w:t>
      </w:r>
    </w:p>
    <w:p w:rsidRPr="00287553" w:rsidR="007002C2" w:rsidP="007002C2" w:rsidRDefault="00287553" w14:paraId="78210D1F" w14:textId="08D63B75">
      <w:pPr>
        <w:pStyle w:val="Paragraphedeliste"/>
        <w:numPr>
          <w:ilvl w:val="0"/>
          <w:numId w:val="1"/>
        </w:numPr>
        <w:rPr>
          <w:lang w:val="fr-FR"/>
        </w:rPr>
      </w:pPr>
      <w:r w:rsidRPr="65007679" w:rsidR="00287553">
        <w:rPr>
          <w:lang w:val="fr-FR"/>
        </w:rPr>
        <w:t>l’absence</w:t>
      </w:r>
      <w:r w:rsidRPr="65007679" w:rsidR="00287553">
        <w:rPr>
          <w:lang w:val="fr-FR"/>
        </w:rPr>
        <w:t xml:space="preserve"> de requalification des intérêts sur les avances prêtées par les associés en dividendes si ces intérêts sont supérieurs au taux de marché ou lorsque le montant des avances est supérieur au capital versé </w:t>
      </w:r>
      <w:r w:rsidR="00287553">
        <w:rPr/>
        <w:t>(</w:t>
      </w:r>
      <w:r w:rsidR="003C2C17">
        <w:rPr/>
        <w:t>CIR</w:t>
      </w:r>
      <w:r w:rsidR="003C2C17">
        <w:rPr/>
        <w:t xml:space="preserve"> </w:t>
      </w:r>
      <w:r w:rsidR="00287553">
        <w:rPr/>
        <w:t>18, 4°</w:t>
      </w:r>
      <w:r w:rsidR="00287553">
        <w:rPr/>
        <w:t>)</w:t>
      </w:r>
      <w:r w:rsidR="00287553">
        <w:rPr/>
        <w:t>.</w:t>
      </w:r>
    </w:p>
    <w:p w:rsidR="001D7F62" w:rsidRDefault="001D7F62" w14:paraId="6DD5C2A0" w14:textId="77777777"/>
    <w:p w:rsidR="00D51381" w:rsidRDefault="00CA5CAB" w14:paraId="092B5883" w14:textId="40DA1384">
      <w:r>
        <w:rPr>
          <w:i/>
          <w:iCs/>
        </w:rPr>
        <w:t>N</w:t>
      </w:r>
      <w:r w:rsidRPr="00B77E0E">
        <w:rPr>
          <w:i/>
          <w:iCs/>
        </w:rPr>
        <w:t>on encore acquis par CitizenFund</w:t>
      </w:r>
      <w:r>
        <w:rPr>
          <w:i/>
          <w:iCs/>
        </w:rPr>
        <w:t>,</w:t>
      </w:r>
      <w:r>
        <w:t xml:space="preserve"> </w:t>
      </w:r>
      <w:r>
        <w:t>l</w:t>
      </w:r>
      <w:r w:rsidR="00287553">
        <w:t xml:space="preserve">’agrément fédéral comme </w:t>
      </w:r>
      <w:r w:rsidR="00D51381">
        <w:t>société coopérative</w:t>
      </w:r>
      <w:r w:rsidR="00287553">
        <w:t xml:space="preserve"> </w:t>
      </w:r>
      <w:r w:rsidRPr="00CA5CAB" w:rsidR="00287553">
        <w:t>agréée «</w:t>
      </w:r>
      <w:r w:rsidRPr="00CA5CAB" w:rsidR="00287553">
        <w:rPr>
          <w:i/>
          <w:iCs/>
          <w:u w:val="single"/>
        </w:rPr>
        <w:t> entreprise sociale</w:t>
      </w:r>
      <w:r w:rsidRPr="00CA5CAB" w:rsidR="00287553">
        <w:t> »</w:t>
      </w:r>
      <w:r w:rsidR="00287553">
        <w:t xml:space="preserve"> </w:t>
      </w:r>
      <w:r w:rsidR="00B77E0E">
        <w:t xml:space="preserve">offre </w:t>
      </w:r>
      <w:r w:rsidR="00D51381">
        <w:t>d</w:t>
      </w:r>
      <w:r>
        <w:t xml:space="preserve">’autres </w:t>
      </w:r>
      <w:r w:rsidR="00D51381">
        <w:t xml:space="preserve">opportunités non négligeables : </w:t>
      </w:r>
    </w:p>
    <w:p w:rsidR="00D51381" w:rsidRDefault="00D51381" w14:paraId="1AF1136E" w14:textId="77777777"/>
    <w:p w:rsidR="00D51381" w:rsidP="00B77E0E" w:rsidRDefault="00B77E0E" w14:paraId="00EE9D87" w14:textId="77777777">
      <w:pPr>
        <w:pStyle w:val="Paragraphedeliste"/>
        <w:numPr>
          <w:ilvl w:val="0"/>
          <w:numId w:val="1"/>
        </w:numPr>
      </w:pPr>
      <w:r>
        <w:t xml:space="preserve">l’accès aux soutiens financiers et aux appels à projets de la Loterie nationale ; </w:t>
      </w:r>
    </w:p>
    <w:p w:rsidR="00D51381" w:rsidP="00B77E0E" w:rsidRDefault="00B77E0E" w14:paraId="57BCE611" w14:textId="2F190347">
      <w:pPr>
        <w:pStyle w:val="Paragraphedeliste"/>
        <w:numPr>
          <w:ilvl w:val="0"/>
          <w:numId w:val="1"/>
        </w:numPr>
      </w:pPr>
      <w:r>
        <w:t xml:space="preserve">l’accès facilité à des appels à projets </w:t>
      </w:r>
      <w:r w:rsidR="00D51381">
        <w:t>publics (Régions) et privés (FRB, FGF, …)</w:t>
      </w:r>
      <w:r w:rsidR="00F760D3">
        <w:t> ;</w:t>
      </w:r>
    </w:p>
    <w:p w:rsidR="00B77E0E" w:rsidP="00B77E0E" w:rsidRDefault="00D51381" w14:paraId="3877961F" w14:textId="53EA8C62">
      <w:pPr>
        <w:pStyle w:val="Paragraphedeliste"/>
        <w:numPr>
          <w:ilvl w:val="0"/>
          <w:numId w:val="1"/>
        </w:numPr>
      </w:pPr>
      <w:r>
        <w:t xml:space="preserve">l’accès à des financements européens </w:t>
      </w:r>
      <w:r w:rsidRPr="00B77E0E">
        <w:t>(F</w:t>
      </w:r>
      <w:r>
        <w:t>SE</w:t>
      </w:r>
      <w:r w:rsidRPr="00B77E0E">
        <w:t xml:space="preserve"> </w:t>
      </w:r>
      <w:r>
        <w:t>+</w:t>
      </w:r>
      <w:r w:rsidRPr="00B77E0E">
        <w:t>, Horizon Europe, Erasmus +, LIFE ou Invest EU)</w:t>
      </w:r>
      <w:r w:rsidR="00F760D3">
        <w:t> ;</w:t>
      </w:r>
    </w:p>
    <w:p w:rsidR="00D51381" w:rsidP="00D51381" w:rsidRDefault="00D51381" w14:paraId="6BB1276C" w14:textId="140AEA09">
      <w:pPr>
        <w:pStyle w:val="Paragraphedeliste"/>
        <w:numPr>
          <w:ilvl w:val="0"/>
          <w:numId w:val="1"/>
        </w:numPr>
      </w:pPr>
      <w:r>
        <w:t>d</w:t>
      </w:r>
      <w:r w:rsidRPr="00D51381">
        <w:t>es produits de financements</w:t>
      </w:r>
      <w:r>
        <w:t xml:space="preserve"> spécifiques</w:t>
      </w:r>
      <w:r w:rsidRPr="00D51381">
        <w:t xml:space="preserve"> (prêts et prises de participation)</w:t>
      </w:r>
      <w:r w:rsidR="00F760D3">
        <w:t xml:space="preserve"> ; </w:t>
      </w:r>
    </w:p>
    <w:p w:rsidR="00D51381" w:rsidP="00D51381" w:rsidRDefault="00D51381" w14:paraId="5866D140" w14:textId="77777777"/>
    <w:p w:rsidR="00D51381" w:rsidP="00D51381" w:rsidRDefault="00D51381" w14:paraId="67EE35BA" w14:textId="66064719">
      <w:r>
        <w:t xml:space="preserve">Enfin, l’agrément fédéral </w:t>
      </w:r>
      <w:r w:rsidR="00CA5CAB">
        <w:t>(</w:t>
      </w:r>
      <w:r w:rsidR="00F760D3">
        <w:t>et/ou l’agrément régional</w:t>
      </w:r>
      <w:r w:rsidR="00CA5CAB">
        <w:t>)</w:t>
      </w:r>
      <w:r w:rsidR="00F760D3">
        <w:t xml:space="preserve"> comme « entreprise sociale » est une condition requise pour obtenir ensuite l’agrément régional bruxellois comme « </w:t>
      </w:r>
      <w:r w:rsidRPr="00CA5CAB" w:rsidR="00F760D3">
        <w:rPr>
          <w:i/>
          <w:iCs/>
          <w:u w:val="single"/>
        </w:rPr>
        <w:t>coopérative de crédit agréée</w:t>
      </w:r>
      <w:r w:rsidR="00F760D3">
        <w:t> ».</w:t>
      </w:r>
    </w:p>
    <w:p w:rsidR="00EE38C4" w:rsidP="00D51381" w:rsidRDefault="00EE38C4" w14:paraId="6E37E2C7" w14:textId="77777777"/>
    <w:p w:rsidR="00390A14" w:rsidP="00D51381" w:rsidRDefault="00EE38C4" w14:paraId="288E3B7F" w14:textId="114023B6">
      <w:r>
        <w:t>Ce dernier agrément permet, sous conditions, au coopérateur</w:t>
      </w:r>
      <w:r w:rsidR="00390A14">
        <w:t xml:space="preserve"> qui acquiert une ou plusieurs actions d’une coopérative de crédit de bénéficier d’un crédit d’impôt de 3,5% sur la valeur à l’acquisition des actions pendant cinq années. Les conditions portent à la fois sur </w:t>
      </w:r>
      <w:r w:rsidR="00CA5CAB">
        <w:t xml:space="preserve">la coopérative de crédit, sur </w:t>
      </w:r>
      <w:r w:rsidR="00390A14">
        <w:t>les activités de la coopérative de crédit et sur le profil du coopérateur.</w:t>
      </w:r>
    </w:p>
    <w:p w:rsidR="00390A14" w:rsidP="00D51381" w:rsidRDefault="00390A14" w14:paraId="76C08DB0" w14:textId="77777777"/>
    <w:p w:rsidR="00390A14" w:rsidP="00D51381" w:rsidRDefault="00390A14" w14:paraId="4F2800B0" w14:textId="11E467D6">
      <w:r>
        <w:t>Pour mémoire, l’objectif des propositions de modifications de statuts est de placer Citizenfund dans les conditions requises pour bénéficier de ces différents avantages</w:t>
      </w:r>
      <w:r w:rsidR="00B726F8">
        <w:t> ; ceux-ci étant susceptibles de contribuer au développement de ses activités.</w:t>
      </w:r>
    </w:p>
    <w:p w:rsidR="00CA5CAB" w:rsidP="00D51381" w:rsidRDefault="00CA5CAB" w14:paraId="6CAE87E9" w14:textId="77777777"/>
    <w:p w:rsidRPr="00CA5CAB" w:rsidR="00CA5CAB" w:rsidP="00D51381" w:rsidRDefault="00CA5CAB" w14:paraId="7DB15245" w14:textId="6973045C">
      <w:r w:rsidR="00CA5CAB">
        <w:rPr/>
        <w:t xml:space="preserve">Pour mémoire encore, il existe également un agrément régional bruxellois </w:t>
      </w:r>
      <w:r w:rsidRPr="65007679" w:rsidR="00CA5CAB">
        <w:rPr>
          <w:lang w:val="fr-FR"/>
        </w:rPr>
        <w:t xml:space="preserve">comme « entreprise sociale » </w:t>
      </w:r>
      <w:r w:rsidRPr="65007679" w:rsidR="00CA5CAB">
        <w:rPr>
          <w:lang w:val="fr-FR"/>
        </w:rPr>
        <w:t>(</w:t>
      </w:r>
      <w:r w:rsidRPr="65007679" w:rsidR="00CA5CAB">
        <w:rPr>
          <w:lang w:val="fr-FR"/>
        </w:rPr>
        <w:t>cf. l’Ordonnance du 23 juillet 2018 relative à l’agrément et au soutien des entreprises sociales </w:t>
      </w:r>
      <w:r w:rsidRPr="65007679" w:rsidR="00CA5CAB">
        <w:rPr>
          <w:lang w:val="fr-FR"/>
        </w:rPr>
        <w:t>et</w:t>
      </w:r>
      <w:r w:rsidRPr="65007679" w:rsidR="00CA5CAB">
        <w:rPr>
          <w:lang w:val="fr-FR"/>
        </w:rPr>
        <w:t xml:space="preserve"> l’Arrêté du Gouvernement de la RBC du 20 décembre 2018 relatif à l’agrément des entreprises sociales</w:t>
      </w:r>
      <w:r w:rsidRPr="65007679" w:rsidR="00CA5CAB">
        <w:rPr>
          <w:lang w:val="fr-FR"/>
        </w:rPr>
        <w:t>) qui se trouve nettement plus exigeant en termes de modifications statutaires requises pour obtenir cet agrément.</w:t>
      </w:r>
    </w:p>
    <w:p w:rsidR="2D4ED2EB" w:rsidP="65007679" w:rsidRDefault="2D4ED2EB" w14:paraId="2BE8BA30" w14:textId="282DC665">
      <w:pPr>
        <w:rPr>
          <w:lang w:val="fr-FR"/>
        </w:rPr>
      </w:pPr>
      <w:r w:rsidRPr="65007679" w:rsidR="2D4ED2EB">
        <w:rPr>
          <w:lang w:val="fr-FR"/>
        </w:rPr>
        <w:t>D’une part l’agréement bruxellois comme “entreprise soc</w:t>
      </w:r>
      <w:r w:rsidRPr="65007679" w:rsidR="66163DB6">
        <w:rPr>
          <w:lang w:val="fr-FR"/>
        </w:rPr>
        <w:t xml:space="preserve">iale &amp; démocratique” </w:t>
      </w:r>
      <w:r w:rsidRPr="65007679" w:rsidR="3C65EA48">
        <w:rPr>
          <w:lang w:val="fr-FR"/>
        </w:rPr>
        <w:t xml:space="preserve">est plus </w:t>
      </w:r>
      <w:r w:rsidRPr="65007679" w:rsidR="66163DB6">
        <w:rPr>
          <w:lang w:val="fr-FR"/>
        </w:rPr>
        <w:t xml:space="preserve">exigeant en termes de modifications statutaires comme indiqué et, d’autre part, cet </w:t>
      </w:r>
      <w:r w:rsidRPr="65007679" w:rsidR="2B30966E">
        <w:rPr>
          <w:lang w:val="fr-FR"/>
        </w:rPr>
        <w:t>agrément</w:t>
      </w:r>
      <w:r w:rsidRPr="65007679" w:rsidR="66163DB6">
        <w:rPr>
          <w:lang w:val="fr-FR"/>
        </w:rPr>
        <w:t xml:space="preserve"> bruxellois </w:t>
      </w:r>
      <w:r w:rsidRPr="65007679" w:rsidR="2FA3180B">
        <w:rPr>
          <w:lang w:val="fr-FR"/>
        </w:rPr>
        <w:t>“</w:t>
      </w:r>
      <w:r w:rsidRPr="65007679" w:rsidR="66163DB6">
        <w:rPr>
          <w:lang w:val="fr-FR"/>
        </w:rPr>
        <w:t xml:space="preserve">ESD” impose de </w:t>
      </w:r>
      <w:r w:rsidRPr="65007679" w:rsidR="472D29B5">
        <w:rPr>
          <w:lang w:val="fr-FR"/>
        </w:rPr>
        <w:t>“</w:t>
      </w:r>
      <w:r w:rsidRPr="65007679" w:rsidR="66163DB6">
        <w:rPr>
          <w:lang w:val="fr-FR"/>
        </w:rPr>
        <w:t xml:space="preserve">démontrer un niveau </w:t>
      </w:r>
      <w:r w:rsidRPr="65007679" w:rsidR="70206494">
        <w:rPr>
          <w:lang w:val="fr-FR"/>
        </w:rPr>
        <w:t>m</w:t>
      </w:r>
      <w:r w:rsidRPr="65007679" w:rsidR="66163DB6">
        <w:rPr>
          <w:lang w:val="fr-FR"/>
        </w:rPr>
        <w:t>i</w:t>
      </w:r>
      <w:r w:rsidRPr="65007679" w:rsidR="66163DB6">
        <w:rPr>
          <w:lang w:val="fr-FR"/>
        </w:rPr>
        <w:t>nimum de travail rémunéré de quali</w:t>
      </w:r>
      <w:r w:rsidRPr="65007679" w:rsidR="2EEA6028">
        <w:rPr>
          <w:lang w:val="fr-FR"/>
        </w:rPr>
        <w:t>té et durable</w:t>
      </w:r>
      <w:r w:rsidRPr="65007679" w:rsidR="49BEF794">
        <w:rPr>
          <w:lang w:val="fr-FR"/>
        </w:rPr>
        <w:t xml:space="preserve">” </w:t>
      </w:r>
      <w:r w:rsidRPr="65007679" w:rsidR="6A6923DD">
        <w:rPr>
          <w:lang w:val="fr-FR"/>
        </w:rPr>
        <w:t>à savoir minimum 1 équivalent temps plein sous contrat à durée indéterminée. Ceci n’est pas le cas pour le Citizenfund actuellement.</w:t>
      </w:r>
    </w:p>
    <w:p w:rsidR="008344ED" w:rsidRDefault="008344ED" w14:paraId="7789F494" w14:textId="0278C5FC">
      <w:pPr>
        <w:jc w:val="left"/>
      </w:pPr>
      <w:r>
        <w:br w:type="page"/>
      </w:r>
    </w:p>
    <w:p w:rsidR="008344ED" w:rsidP="00D51381" w:rsidRDefault="008344ED" w14:paraId="6E4FFD88" w14:textId="77777777"/>
    <w:p w:rsidR="00A92DF4" w:rsidP="00210211" w:rsidRDefault="00210211" w14:paraId="64939FDA" w14:textId="28B8C4E0">
      <w:pPr>
        <w:pStyle w:val="Titre2"/>
      </w:pPr>
      <w:r>
        <w:t>Codes couleur et texte</w:t>
      </w:r>
    </w:p>
    <w:p w:rsidRPr="00210211" w:rsidR="00210211" w:rsidP="00210211" w:rsidRDefault="00210211" w14:paraId="720E87DC" w14:textId="77777777"/>
    <w:p w:rsidRPr="004D64B0" w:rsidR="004D64B0" w:rsidP="00210211" w:rsidRDefault="004D64B0" w14:paraId="599B1919" w14:textId="5F1A1AA8">
      <w:pPr>
        <w:pStyle w:val="Paragraphedeliste"/>
        <w:numPr>
          <w:ilvl w:val="0"/>
          <w:numId w:val="5"/>
        </w:numPr>
        <w:tabs>
          <w:tab w:val="left" w:pos="2552"/>
        </w:tabs>
      </w:pPr>
      <w:r>
        <w:t>texte normal</w:t>
      </w:r>
      <w:r>
        <w:tab/>
      </w:r>
      <w:r>
        <w:t>passage repris tel quel des statuts actuels</w:t>
      </w:r>
    </w:p>
    <w:p w:rsidR="00210211" w:rsidP="00210211" w:rsidRDefault="00210211" w14:paraId="6041A57B" w14:textId="716F65A3">
      <w:pPr>
        <w:pStyle w:val="Paragraphedeliste"/>
        <w:numPr>
          <w:ilvl w:val="0"/>
          <w:numId w:val="5"/>
        </w:numPr>
        <w:tabs>
          <w:tab w:val="left" w:pos="2552"/>
        </w:tabs>
      </w:pPr>
      <w:r w:rsidRPr="00210211">
        <w:rPr>
          <w:highlight w:val="yellow"/>
        </w:rPr>
        <w:t>texte en fluo jaune</w:t>
      </w:r>
      <w:r>
        <w:t xml:space="preserve"> </w:t>
      </w:r>
      <w:r>
        <w:tab/>
      </w:r>
      <w:r>
        <w:t>ajout pour répondre à l’évolution des activités et du contexte</w:t>
      </w:r>
    </w:p>
    <w:p w:rsidR="00210211" w:rsidP="00210211" w:rsidRDefault="00210211" w14:paraId="7067DEC1" w14:textId="18BC11F6">
      <w:pPr>
        <w:pStyle w:val="Paragraphedeliste"/>
        <w:numPr>
          <w:ilvl w:val="0"/>
          <w:numId w:val="5"/>
        </w:numPr>
        <w:tabs>
          <w:tab w:val="left" w:pos="2552"/>
        </w:tabs>
      </w:pPr>
      <w:r w:rsidRPr="00210211">
        <w:rPr>
          <w:highlight w:val="green"/>
        </w:rPr>
        <w:t>texte en fluo vert</w:t>
      </w:r>
      <w:r>
        <w:tab/>
      </w:r>
      <w:r>
        <w:t xml:space="preserve">ajout pour répondre à une </w:t>
      </w:r>
      <w:r w:rsidRPr="00210211">
        <w:rPr>
          <w:u w:val="single"/>
        </w:rPr>
        <w:t>condition d’agrément</w:t>
      </w:r>
    </w:p>
    <w:p w:rsidRPr="004D64B0" w:rsidR="00210211" w:rsidP="00210211" w:rsidRDefault="00210211" w14:paraId="4A64C0DA" w14:textId="5FA6AE0C">
      <w:pPr>
        <w:pStyle w:val="Paragraphedeliste"/>
        <w:numPr>
          <w:ilvl w:val="0"/>
          <w:numId w:val="5"/>
        </w:numPr>
        <w:tabs>
          <w:tab w:val="left" w:pos="2552"/>
        </w:tabs>
        <w:rPr>
          <w:i/>
          <w:iCs/>
        </w:rPr>
      </w:pPr>
      <w:r w:rsidRPr="00210211">
        <w:rPr>
          <w:i/>
          <w:iCs/>
        </w:rPr>
        <w:t>texte en italique</w:t>
      </w:r>
      <w:r>
        <w:rPr>
          <w:i/>
          <w:iCs/>
        </w:rPr>
        <w:tab/>
      </w:r>
      <w:r>
        <w:t>ajout pour faciliter la lecture</w:t>
      </w:r>
    </w:p>
    <w:p w:rsidRPr="00210211" w:rsidR="004D64B0" w:rsidP="00210211" w:rsidRDefault="004D64B0" w14:paraId="7D70E224" w14:textId="29204F5C">
      <w:pPr>
        <w:pStyle w:val="Paragraphedeliste"/>
        <w:numPr>
          <w:ilvl w:val="0"/>
          <w:numId w:val="5"/>
        </w:numPr>
        <w:tabs>
          <w:tab w:val="left" w:pos="2552"/>
        </w:tabs>
        <w:rPr>
          <w:i/>
          <w:iCs/>
        </w:rPr>
      </w:pPr>
      <w:r>
        <w:rPr>
          <w:strike/>
        </w:rPr>
        <w:t>texte barré</w:t>
      </w:r>
      <w:r>
        <w:t xml:space="preserve"> </w:t>
      </w:r>
      <w:r>
        <w:tab/>
      </w:r>
      <w:r>
        <w:t>passage dont la suppression est proposée</w:t>
      </w:r>
    </w:p>
    <w:p w:rsidR="00A92DF4" w:rsidP="00A92DF4" w:rsidRDefault="00A92DF4" w14:paraId="51BFF185" w14:textId="77777777"/>
    <w:p w:rsidR="00B77395" w:rsidP="00A92DF4" w:rsidRDefault="00B77395" w14:paraId="45A99C15" w14:textId="77777777"/>
    <w:p w:rsidR="003C2C17" w:rsidP="65007679" w:rsidRDefault="003C2C17" w14:paraId="0F09BA3F" w14:textId="61846574">
      <w:pPr>
        <w:pStyle w:val="Titre2"/>
      </w:pPr>
      <w:r w:rsidR="003C2C17">
        <w:rPr/>
        <w:t>Agrément fédéral : modifications nécessaires</w:t>
      </w:r>
    </w:p>
    <w:p w:rsidR="00210211" w:rsidP="003C2C17" w:rsidRDefault="00210211" w14:paraId="4B26B777" w14:textId="7253AC66">
      <w:pPr>
        <w:pStyle w:val="Titre3"/>
      </w:pPr>
      <w:r>
        <w:t>Modification de l’objet – article 3</w:t>
      </w:r>
    </w:p>
    <w:p w:rsidR="00210211" w:rsidP="00A92DF4" w:rsidRDefault="00210211" w14:paraId="48FB4ACA" w14:textId="77777777"/>
    <w:p w:rsidR="00210211" w:rsidP="00A92DF4" w:rsidRDefault="00FB59B0" w14:paraId="61F3D5AD" w14:textId="68527908">
      <w:r w:rsidR="00FB59B0">
        <w:rPr/>
        <w:t>La société a pour objet, tant en Belgique qu’à l’étranger, pour compte propre ou pour compte de tiers ou en participation avec des tiers</w:t>
      </w:r>
      <w:r w:rsidRPr="3C63D0F4" w:rsidR="00FB59B0">
        <w:rPr>
          <w:highlight w:val="yellow"/>
        </w:rPr>
        <w:t xml:space="preserve">, </w:t>
      </w:r>
      <w:r w:rsidRPr="3C63D0F4" w:rsidR="009626AB">
        <w:rPr>
          <w:highlight w:val="yellow"/>
        </w:rPr>
        <w:t>la structuration</w:t>
      </w:r>
      <w:r w:rsidR="009626AB">
        <w:rPr/>
        <w:t xml:space="preserve">, </w:t>
      </w:r>
      <w:r w:rsidRPr="3C63D0F4" w:rsidR="00FB59B0">
        <w:rPr>
          <w:highlight w:val="yellow"/>
        </w:rPr>
        <w:t>l’accompagnement</w:t>
      </w:r>
      <w:r w:rsidR="00FB59B0">
        <w:rPr/>
        <w:t xml:space="preserve">, le financement et la réalisation de projets à impact </w:t>
      </w:r>
      <w:r w:rsidRPr="3C63D0F4" w:rsidR="00FB59B0">
        <w:rPr>
          <w:highlight w:val="yellow"/>
        </w:rPr>
        <w:t>économique</w:t>
      </w:r>
      <w:r w:rsidRPr="3C63D0F4" w:rsidR="007D7493">
        <w:rPr>
          <w:highlight w:val="yellow"/>
        </w:rPr>
        <w:t xml:space="preserve"> </w:t>
      </w:r>
      <w:r w:rsidRPr="3C63D0F4" w:rsidR="00FB59B0">
        <w:rPr>
          <w:highlight w:val="yellow"/>
        </w:rPr>
        <w:t>et</w:t>
      </w:r>
      <w:r w:rsidR="00FB59B0">
        <w:rPr/>
        <w:t xml:space="preserve"> sociétal </w:t>
      </w:r>
      <w:r w:rsidRPr="3C63D0F4" w:rsidR="00FB59B0">
        <w:rPr>
          <w:highlight w:val="green"/>
        </w:rPr>
        <w:t>positif pour l</w:t>
      </w:r>
      <w:r w:rsidRPr="3C63D0F4" w:rsidR="5707D5A0">
        <w:rPr>
          <w:highlight w:val="green"/>
        </w:rPr>
        <w:t>'humain</w:t>
      </w:r>
      <w:r w:rsidRPr="3C63D0F4" w:rsidR="00FB59B0">
        <w:rPr>
          <w:highlight w:val="green"/>
        </w:rPr>
        <w:t>, l’environnement</w:t>
      </w:r>
      <w:r w:rsidRPr="3C63D0F4" w:rsidR="00FB59B0">
        <w:rPr>
          <w:highlight w:val="green"/>
        </w:rPr>
        <w:t xml:space="preserve"> et/</w:t>
      </w:r>
      <w:r w:rsidRPr="3C63D0F4" w:rsidR="00FB59B0">
        <w:rPr>
          <w:highlight w:val="green"/>
        </w:rPr>
        <w:t>ou la société</w:t>
      </w:r>
      <w:r w:rsidR="00FB59B0">
        <w:rPr/>
        <w:t>.</w:t>
      </w:r>
      <w:r w:rsidR="00210211">
        <w:rPr/>
        <w:t xml:space="preserve"> </w:t>
      </w:r>
    </w:p>
    <w:p w:rsidR="00FB59B0" w:rsidP="00A92DF4" w:rsidRDefault="00210211" w14:paraId="53D3502F" w14:textId="61A7C256">
      <w:r w:rsidRPr="00210211">
        <w:rPr>
          <w:i/>
          <w:iCs/>
        </w:rPr>
        <w:t>Ces projets pourront être menés</w:t>
      </w:r>
      <w:r>
        <w:t xml:space="preserve"> notamment dans </w:t>
      </w:r>
      <w:r w:rsidRPr="00210211">
        <w:rPr>
          <w:i/>
          <w:iCs/>
        </w:rPr>
        <w:t>le cadre de</w:t>
      </w:r>
      <w:r>
        <w:t xml:space="preserve"> </w:t>
      </w:r>
      <w:r w:rsidRPr="00210211">
        <w:rPr>
          <w:highlight w:val="yellow"/>
        </w:rPr>
        <w:t>l’économie régénérative</w:t>
      </w:r>
      <w:r>
        <w:t xml:space="preserve">, l’économie circulaire, l’économie collaborative, l’économie connectée, </w:t>
      </w:r>
      <w:r w:rsidRPr="00210211">
        <w:rPr>
          <w:highlight w:val="yellow"/>
        </w:rPr>
        <w:t>l’économie sociale</w:t>
      </w:r>
      <w:r>
        <w:t xml:space="preserve"> </w:t>
      </w:r>
      <w:r w:rsidRPr="00210211">
        <w:rPr>
          <w:i/>
          <w:iCs/>
        </w:rPr>
        <w:t>et/ou</w:t>
      </w:r>
      <w:r>
        <w:t xml:space="preserve"> </w:t>
      </w:r>
      <w:r w:rsidRPr="00210211">
        <w:rPr>
          <w:highlight w:val="yellow"/>
        </w:rPr>
        <w:t>dans le cadre des communs</w:t>
      </w:r>
      <w:r>
        <w:t xml:space="preserve"> </w:t>
      </w:r>
      <w:r w:rsidRPr="00210211">
        <w:rPr>
          <w:i/>
          <w:iCs/>
        </w:rPr>
        <w:t>et/ou</w:t>
      </w:r>
      <w:r>
        <w:t xml:space="preserve"> </w:t>
      </w:r>
      <w:r w:rsidRPr="00210211">
        <w:rPr>
          <w:highlight w:val="yellow"/>
        </w:rPr>
        <w:t>dans tout autre cadre qui permettrait d’exercer un impact positif</w:t>
      </w:r>
      <w:r>
        <w:t>.</w:t>
      </w:r>
    </w:p>
    <w:p w:rsidRPr="003C2C17" w:rsidR="00210211" w:rsidP="00A92DF4" w:rsidRDefault="00210211" w14:paraId="772FE385" w14:textId="4AAB9BA4">
      <w:pPr>
        <w:rPr>
          <w:strike/>
        </w:rPr>
      </w:pPr>
      <w:r>
        <w:t>En tant que société coopérative, son modèle économique</w:t>
      </w:r>
      <w:r w:rsidR="008344ED">
        <w:t xml:space="preserve"> repose sur </w:t>
      </w:r>
      <w:r w:rsidRPr="008344ED" w:rsidR="008344ED">
        <w:rPr>
          <w:highlight w:val="yellow"/>
        </w:rPr>
        <w:t>les principes des modèles d’affaires durables à triple impact net positif</w:t>
      </w:r>
      <w:r w:rsidR="008344ED">
        <w:t xml:space="preserve"> </w:t>
      </w:r>
      <w:r w:rsidR="008344ED">
        <w:rPr>
          <w:i/>
          <w:iCs/>
        </w:rPr>
        <w:t xml:space="preserve">et son fonctionnement </w:t>
      </w:r>
      <w:r w:rsidR="008344ED">
        <w:t xml:space="preserve">repose sur les valeurs d’égalité, équité, démocratie, responsabilité, solidarité et assistance. </w:t>
      </w:r>
      <w:r w:rsidR="004D64B0">
        <w:t xml:space="preserve">Le but principal de la société est de procurer aux associés </w:t>
      </w:r>
      <w:r w:rsidRPr="004D64B0" w:rsidR="004D64B0">
        <w:rPr>
          <w:i/>
          <w:iCs/>
        </w:rPr>
        <w:t>et/ou</w:t>
      </w:r>
      <w:r w:rsidR="004D64B0">
        <w:t xml:space="preserve"> </w:t>
      </w:r>
      <w:r w:rsidRPr="004D64B0" w:rsidR="004D64B0">
        <w:rPr>
          <w:highlight w:val="yellow"/>
        </w:rPr>
        <w:t>aux tiers intéressés</w:t>
      </w:r>
      <w:r w:rsidR="004D64B0">
        <w:t xml:space="preserve"> un avantage économique, social </w:t>
      </w:r>
      <w:r w:rsidRPr="004D64B0" w:rsidR="004D64B0">
        <w:rPr>
          <w:highlight w:val="yellow"/>
        </w:rPr>
        <w:t>ou environnemental</w:t>
      </w:r>
      <w:r w:rsidR="004D64B0">
        <w:t xml:space="preserve">, dans la satisfaction de leurs besoins privés, professionnels ou collectifs, tels que notamment ceux visés dans le règlement d’ordre intérieur. </w:t>
      </w:r>
      <w:r w:rsidRPr="003C2C17" w:rsidR="004D64B0">
        <w:rPr>
          <w:strike/>
        </w:rPr>
        <w:t>Une partie des ressources annuelles est consacrée à l’information et à la formation des associés, actuels et potentiels, ou du grand public.</w:t>
      </w:r>
    </w:p>
    <w:p w:rsidRPr="003C2C17" w:rsidR="001D7F62" w:rsidRDefault="007D7493" w14:paraId="4543E4F0" w14:textId="545636A5">
      <w:pPr>
        <w:rPr>
          <w:strike/>
        </w:rPr>
      </w:pPr>
      <w:r w:rsidRPr="003C2C17">
        <w:rPr>
          <w:strike/>
        </w:rPr>
        <w:t>La société a également pour but d’avoir un impact positif significatif sur la société et l’environnement au travers de ses activités opérationnelles et commerciales.</w:t>
      </w:r>
    </w:p>
    <w:p w:rsidR="001D7F62" w:rsidRDefault="001D7F62" w14:paraId="5A7CF7AD" w14:textId="77777777"/>
    <w:p w:rsidR="007D7493" w:rsidP="007D7493" w:rsidRDefault="00B77395" w14:paraId="367D71EA" w14:textId="3F19DB5B">
      <w:pPr>
        <w:pStyle w:val="Paragraphedeliste"/>
        <w:numPr>
          <w:ilvl w:val="0"/>
          <w:numId w:val="6"/>
        </w:numPr>
      </w:pPr>
      <w:r>
        <w:t>i</w:t>
      </w:r>
      <w:r w:rsidR="007D7493">
        <w:t>nt</w:t>
      </w:r>
      <w:r>
        <w:t>égrer une</w:t>
      </w:r>
      <w:r w:rsidR="007D7493">
        <w:t xml:space="preserve"> condition d</w:t>
      </w:r>
      <w:r w:rsidR="00460D65">
        <w:t>e l</w:t>
      </w:r>
      <w:r w:rsidR="007D7493">
        <w:t xml:space="preserve">’agrément fédéral « entreprise sociale » </w:t>
      </w:r>
      <w:r w:rsidR="00460D65">
        <w:t>(AR 28.06.19, art 6, §1, 1° et 2°)</w:t>
      </w:r>
      <w:r>
        <w:t> ;</w:t>
      </w:r>
    </w:p>
    <w:p w:rsidR="009626AB" w:rsidP="007D7493" w:rsidRDefault="00B77395" w14:paraId="59311A2E" w14:textId="78DF1FEA">
      <w:pPr>
        <w:pStyle w:val="Paragraphedeliste"/>
        <w:numPr>
          <w:ilvl w:val="0"/>
          <w:numId w:val="6"/>
        </w:numPr>
      </w:pPr>
      <w:r>
        <w:t>i</w:t>
      </w:r>
      <w:r w:rsidR="007D7493">
        <w:t>nt</w:t>
      </w:r>
      <w:r>
        <w:t>égrer également</w:t>
      </w:r>
      <w:r w:rsidR="007D7493">
        <w:t xml:space="preserve"> </w:t>
      </w:r>
      <w:r w:rsidR="009626AB">
        <w:t>deux conditions</w:t>
      </w:r>
      <w:r w:rsidR="007D7493">
        <w:t xml:space="preserve"> de l’agrément régional « entreprise sociale »</w:t>
      </w:r>
      <w:r>
        <w:t> :</w:t>
      </w:r>
    </w:p>
    <w:p w:rsidR="007D7493" w:rsidP="005D2001" w:rsidRDefault="009626AB" w14:paraId="4B00AA76" w14:textId="29820C13">
      <w:pPr>
        <w:pStyle w:val="Paragraphedeliste"/>
        <w:numPr>
          <w:ilvl w:val="0"/>
          <w:numId w:val="7"/>
        </w:numPr>
        <w:ind w:left="993"/>
      </w:pPr>
      <w:r>
        <w:t>mise en œuvre d’un projet économique</w:t>
      </w:r>
      <w:r w:rsidR="00F6488C">
        <w:t xml:space="preserve"> (AGRBC 20.12.2018, art 8, 1°, a)</w:t>
      </w:r>
    </w:p>
    <w:p w:rsidR="009626AB" w:rsidP="005D2001" w:rsidRDefault="009626AB" w14:paraId="67AA4474" w14:textId="4FCDBCE3">
      <w:pPr>
        <w:pStyle w:val="Paragraphedeliste"/>
        <w:numPr>
          <w:ilvl w:val="0"/>
          <w:numId w:val="7"/>
        </w:numPr>
        <w:ind w:left="993"/>
      </w:pPr>
      <w:r>
        <w:t>mise en œuvre d’une finalité sociale</w:t>
      </w:r>
      <w:r w:rsidR="00F6488C">
        <w:t xml:space="preserve"> explicite (AGRBC 20.12.2018, art 9, 1°)</w:t>
      </w:r>
    </w:p>
    <w:p w:rsidR="007D7493" w:rsidP="007D7493" w:rsidRDefault="007D7493" w14:paraId="6B01046B" w14:textId="77777777"/>
    <w:p w:rsidR="007D7493" w:rsidP="007D7493" w:rsidRDefault="007D7493" w14:paraId="04B6EF46" w14:textId="77777777"/>
    <w:p w:rsidR="007D7493" w:rsidP="003C2C17" w:rsidRDefault="007D7493" w14:paraId="771E4975" w14:textId="6BCDC955">
      <w:pPr>
        <w:pStyle w:val="Titre3"/>
      </w:pPr>
      <w:r>
        <w:t xml:space="preserve">Modification </w:t>
      </w:r>
      <w:r w:rsidR="00CE43BE">
        <w:t>du remboursement des parts (démission) – article 15</w:t>
      </w:r>
    </w:p>
    <w:p w:rsidR="00CE43BE" w:rsidP="00CE43BE" w:rsidRDefault="00CE43BE" w14:paraId="4E5B5235" w14:textId="77777777"/>
    <w:p w:rsidR="00460D65" w:rsidP="00CE43BE" w:rsidRDefault="00CE43BE" w14:paraId="2BDDBE89" w14:textId="77777777">
      <w:r>
        <w:t xml:space="preserve">L’associé démissionnaire ou exclu a droit au remboursement </w:t>
      </w:r>
      <w:r w:rsidRPr="00460D65">
        <w:rPr>
          <w:highlight w:val="green"/>
        </w:rPr>
        <w:t>de ses parts à</w:t>
      </w:r>
      <w:r w:rsidRPr="00460D65" w:rsidR="00460D65">
        <w:rPr>
          <w:highlight w:val="green"/>
        </w:rPr>
        <w:t xml:space="preserve"> leur</w:t>
      </w:r>
      <w:r>
        <w:t xml:space="preserve"> </w:t>
      </w:r>
      <w:r w:rsidRPr="003C2C17">
        <w:rPr>
          <w:strike/>
        </w:rPr>
        <w:t>de la</w:t>
      </w:r>
      <w:r>
        <w:t xml:space="preserve"> valeur nominale </w:t>
      </w:r>
      <w:r w:rsidRPr="003C2C17">
        <w:rPr>
          <w:strike/>
        </w:rPr>
        <w:t>de ses parts</w:t>
      </w:r>
      <w:r>
        <w:t xml:space="preserve"> pour autant que</w:t>
      </w:r>
      <w:r w:rsidRPr="00CE43BE">
        <w:t xml:space="preserve"> </w:t>
      </w:r>
      <w:r w:rsidRPr="00CE43BE">
        <w:rPr>
          <w:highlight w:val="green"/>
        </w:rPr>
        <w:t>l’actif net divisé par le nombre de parts excède</w:t>
      </w:r>
      <w:r>
        <w:t xml:space="preserve"> cette valeur </w:t>
      </w:r>
      <w:r w:rsidRPr="00460D65" w:rsidR="00460D65">
        <w:rPr>
          <w:highlight w:val="green"/>
        </w:rPr>
        <w:t>nominale</w:t>
      </w:r>
      <w:r w:rsidR="00460D65">
        <w:t xml:space="preserve"> </w:t>
      </w:r>
      <w:r w:rsidRPr="003C2C17">
        <w:rPr>
          <w:strike/>
        </w:rPr>
        <w:t>excède l’actif net divisé par le nombre de parts sur base de</w:t>
      </w:r>
      <w:r w:rsidR="00460D65">
        <w:t xml:space="preserve"> ; </w:t>
      </w:r>
      <w:r>
        <w:t xml:space="preserve">l’actif net </w:t>
      </w:r>
      <w:r w:rsidRPr="00460D65" w:rsidR="00460D65">
        <w:rPr>
          <w:highlight w:val="green"/>
        </w:rPr>
        <w:t>étant</w:t>
      </w:r>
      <w:r w:rsidR="00460D65">
        <w:t xml:space="preserve"> </w:t>
      </w:r>
      <w:r>
        <w:t xml:space="preserve">tel qu’il résulte du bilan de l’année précédente dûment approuvé par l’Assemblée générale des associés durant l’année sociale pendant laquelle la démission aura été donnée ou l’exclusion a été prononcée. A défaut, l’associé démissionnaire ou exclu n’aura droit qu’à la quote-part de l’actif net de la société que représente ses parts. </w:t>
      </w:r>
    </w:p>
    <w:p w:rsidR="009860EC" w:rsidP="00CE43BE" w:rsidRDefault="009860EC" w14:paraId="5AE2A78F" w14:textId="3042DB08">
      <w:r w:rsidRPr="009860EC">
        <w:rPr>
          <w:highlight w:val="green"/>
        </w:rPr>
        <w:t>Toutefois, si son apport réel est inférieur soit à la valeur nominale soit à la quote-part de l’actif net, l’associé démissionnaire ou exclu ne pourra prétendre qu’au remboursement de son apport réel.</w:t>
      </w:r>
    </w:p>
    <w:p w:rsidR="00CE43BE" w:rsidP="00CE43BE" w:rsidRDefault="00CE43BE" w14:paraId="257F3C98" w14:textId="5D76A67C">
      <w:r>
        <w:t>(suite de l’article non modifiée).</w:t>
      </w:r>
    </w:p>
    <w:p w:rsidR="00460D65" w:rsidP="00CE43BE" w:rsidRDefault="00460D65" w14:paraId="7252CA79" w14:textId="77777777"/>
    <w:p w:rsidR="00460D65" w:rsidP="005D2001" w:rsidRDefault="00B77395" w14:paraId="51CB8BB3" w14:textId="10098932">
      <w:pPr>
        <w:pStyle w:val="Paragraphedeliste"/>
        <w:numPr>
          <w:ilvl w:val="0"/>
          <w:numId w:val="6"/>
        </w:numPr>
      </w:pPr>
      <w:r>
        <w:t>c</w:t>
      </w:r>
      <w:r w:rsidR="00460D65">
        <w:t>orr</w:t>
      </w:r>
      <w:r w:rsidR="005D2001">
        <w:t>iger</w:t>
      </w:r>
      <w:r w:rsidR="00460D65">
        <w:t xml:space="preserve"> pour préciser que le remboursement à la valeur nominale de la part n’a lieu que dans le cas où l’actif net divisé par le nombre de parts est supérieur à la valeur nominale</w:t>
      </w:r>
    </w:p>
    <w:p w:rsidR="00460D65" w:rsidP="005D2001" w:rsidRDefault="00B77395" w14:paraId="43742C38" w14:textId="5E7720B5">
      <w:pPr>
        <w:pStyle w:val="Paragraphedeliste"/>
        <w:numPr>
          <w:ilvl w:val="0"/>
          <w:numId w:val="6"/>
        </w:numPr>
      </w:pPr>
      <w:bookmarkStart w:name="_Hlk185341541" w:id="0"/>
      <w:r>
        <w:t>i</w:t>
      </w:r>
      <w:r w:rsidR="00460D65">
        <w:t>ntégrer une condition de l’agrément fédéral « entreprise sociale » (AR 28.06.19, art 6, §1, 3°)</w:t>
      </w:r>
    </w:p>
    <w:bookmarkEnd w:id="0"/>
    <w:p w:rsidR="009860EC" w:rsidP="009860EC" w:rsidRDefault="009860EC" w14:paraId="4C6DDFC2" w14:textId="77777777"/>
    <w:p w:rsidR="009860EC" w:rsidP="003C2C17" w:rsidRDefault="00B726F8" w14:paraId="4DDD895D" w14:textId="18E79D92">
      <w:pPr>
        <w:pStyle w:val="Titre3"/>
      </w:pPr>
      <w:r>
        <w:t>Modification de la répartition bénéficiaire – article 31</w:t>
      </w:r>
    </w:p>
    <w:p w:rsidR="00B726F8" w:rsidP="00B726F8" w:rsidRDefault="00B726F8" w14:paraId="477FED3B" w14:textId="77777777"/>
    <w:p w:rsidR="00154E88" w:rsidP="00B726F8" w:rsidRDefault="00C079B6" w14:paraId="2B7A27E3" w14:textId="77777777">
      <w:r>
        <w:t xml:space="preserve">Après les prélèvements obligatoires, </w:t>
      </w:r>
      <w:r w:rsidRPr="00C079B6">
        <w:rPr>
          <w:highlight w:val="green"/>
        </w:rPr>
        <w:t>sur proposition de l’organe d’administration, l’assemblée générale</w:t>
      </w:r>
      <w:r>
        <w:rPr>
          <w:highlight w:val="green"/>
        </w:rPr>
        <w:t xml:space="preserve"> des associés</w:t>
      </w:r>
      <w:r w:rsidRPr="00C079B6">
        <w:rPr>
          <w:highlight w:val="green"/>
        </w:rPr>
        <w:t xml:space="preserve"> détermine</w:t>
      </w:r>
      <w:r w:rsidR="002732D9">
        <w:rPr>
          <w:highlight w:val="green"/>
        </w:rPr>
        <w:t xml:space="preserve"> d’abord</w:t>
      </w:r>
      <w:r w:rsidRPr="00C079B6">
        <w:rPr>
          <w:highlight w:val="green"/>
        </w:rPr>
        <w:t xml:space="preserve"> le montant que la société réserve aux projets et/ou aux affectations qui sont nécessaires ou utiles pour la réalisation de son objet</w:t>
      </w:r>
      <w:r>
        <w:t xml:space="preserve">. </w:t>
      </w:r>
      <w:r w:rsidRPr="00154E88" w:rsidR="002732D9">
        <w:rPr>
          <w:highlight w:val="green"/>
        </w:rPr>
        <w:t xml:space="preserve">Ensuite, </w:t>
      </w:r>
      <w:r w:rsidR="00154E88">
        <w:rPr>
          <w:highlight w:val="green"/>
        </w:rPr>
        <w:t>a</w:t>
      </w:r>
      <w:r w:rsidRPr="00C079B6">
        <w:rPr>
          <w:highlight w:val="green"/>
        </w:rPr>
        <w:t>près déduction de ce montant,</w:t>
      </w:r>
      <w:r>
        <w:t xml:space="preserve"> sur proposition de l’organe d’administration, le montant du bénéfice net est mis à la disposition de l’assemblée générale des associés qui en détermine l’affectation.</w:t>
      </w:r>
      <w:r w:rsidR="002732D9">
        <w:t xml:space="preserve"> </w:t>
      </w:r>
    </w:p>
    <w:p w:rsidR="00B726F8" w:rsidP="00B726F8" w:rsidRDefault="002732D9" w14:paraId="117DBE8E" w14:textId="6D492E17">
      <w:r w:rsidRPr="3C63D0F4" w:rsidR="002732D9">
        <w:rPr>
          <w:highlight w:val="green"/>
        </w:rPr>
        <w:t>Toutefois, l’affectation sous forme d’un avantage patrimonial que la société distribue directement ou indirectement à ses associés, sous quelle que forme que ce soit, ne peut excéder le taux d’intérêt visé à l’article 8 :5, §1</w:t>
      </w:r>
      <w:r w:rsidRPr="3C63D0F4" w:rsidR="002732D9">
        <w:rPr>
          <w:highlight w:val="green"/>
          <w:vertAlign w:val="superscript"/>
        </w:rPr>
        <w:t>er</w:t>
      </w:r>
      <w:r w:rsidRPr="3C63D0F4" w:rsidR="002732D9">
        <w:rPr>
          <w:highlight w:val="green"/>
        </w:rPr>
        <w:t>, 2° du CSA ; ce taux d’intérêt étant appliqué au montant réellement versé par les associés sur leurs parts.</w:t>
      </w:r>
    </w:p>
    <w:p w:rsidR="367C5AF1" w:rsidP="3C63D0F4" w:rsidRDefault="367C5AF1" w14:paraId="0A752700" w14:textId="6AA22262">
      <w:pPr>
        <w:rPr>
          <w:highlight w:val="green"/>
        </w:rPr>
      </w:pPr>
      <w:r w:rsidRPr="3C63D0F4" w:rsidR="367C5AF1">
        <w:rPr>
          <w:highlight w:val="green"/>
        </w:rPr>
        <w:t>Ou</w:t>
      </w:r>
    </w:p>
    <w:p w:rsidR="367C5AF1" w:rsidP="3C63D0F4" w:rsidRDefault="367C5AF1" w14:paraId="54160AC4" w14:textId="5D4C21A6">
      <w:pPr>
        <w:rPr>
          <w:rFonts w:ascii="Aptos" w:hAnsi="Aptos" w:eastAsia="Aptos" w:cs="Aptos"/>
          <w:b w:val="0"/>
          <w:bCs w:val="0"/>
          <w:i w:val="0"/>
          <w:iCs w:val="0"/>
          <w:noProof w:val="0"/>
          <w:color w:val="000000" w:themeColor="text1" w:themeTint="FF" w:themeShade="FF"/>
          <w:sz w:val="20"/>
          <w:szCs w:val="20"/>
          <w:highlight w:val="green"/>
          <w:lang w:val="fr-BE"/>
        </w:rPr>
      </w:pPr>
      <w:r w:rsidRPr="3C63D0F4" w:rsidR="367C5AF1">
        <w:rPr>
          <w:rFonts w:ascii="Aptos" w:hAnsi="Aptos" w:eastAsia="Aptos" w:cs="Aptos"/>
          <w:b w:val="0"/>
          <w:bCs w:val="0"/>
          <w:i w:val="0"/>
          <w:iCs w:val="0"/>
          <w:noProof w:val="0"/>
          <w:color w:val="000000" w:themeColor="text1" w:themeTint="FF" w:themeShade="FF"/>
          <w:sz w:val="20"/>
          <w:szCs w:val="20"/>
          <w:highlight w:val="green"/>
          <w:lang w:val="fr-BE"/>
        </w:rPr>
        <w:t>Toutefois, le montant du dividende ne pourra en aucun cas excéder celui fixé conformément à l’arrêté royal du huit janvier mille neuf cent soixante-deux fixant les conditions d’agrément de groupes de sociétés coopératives et des sociétés coopératives</w:t>
      </w:r>
    </w:p>
    <w:p w:rsidR="00154E88" w:rsidP="00154E88" w:rsidRDefault="00154E88" w14:paraId="6F11F2A1" w14:textId="77777777">
      <w:r>
        <w:t>(suite de l’article non modifiée).</w:t>
      </w:r>
    </w:p>
    <w:p w:rsidR="00154E88" w:rsidP="00154E88" w:rsidRDefault="00154E88" w14:paraId="1E960E24" w14:textId="77777777"/>
    <w:p w:rsidRPr="00154E88" w:rsidR="00154E88" w:rsidP="005D2001" w:rsidRDefault="00B77395" w14:paraId="230B71CA" w14:textId="67D53639">
      <w:pPr>
        <w:pStyle w:val="Paragraphedeliste"/>
        <w:numPr>
          <w:ilvl w:val="0"/>
          <w:numId w:val="6"/>
        </w:numPr>
      </w:pPr>
      <w:r>
        <w:t>i</w:t>
      </w:r>
      <w:r w:rsidRPr="00154E88" w:rsidR="00154E88">
        <w:t xml:space="preserve">ntégrer une condition de l’agrément fédéral « entreprise sociale » (AR 28.06.19, art 6, §1, </w:t>
      </w:r>
      <w:r w:rsidR="00154E88">
        <w:t>6</w:t>
      </w:r>
      <w:r w:rsidRPr="00154E88" w:rsidR="00154E88">
        <w:t>°</w:t>
      </w:r>
      <w:r w:rsidR="00154E88">
        <w:t xml:space="preserve"> et 7°</w:t>
      </w:r>
      <w:r w:rsidRPr="00154E88" w:rsidR="00154E88">
        <w:t>)</w:t>
      </w:r>
    </w:p>
    <w:p w:rsidR="00154E88" w:rsidP="00974C3E" w:rsidRDefault="00154E88" w14:paraId="55ECFEE0" w14:textId="71F34360"/>
    <w:p w:rsidR="00974C3E" w:rsidP="00974C3E" w:rsidRDefault="00974C3E" w14:paraId="4A23E873" w14:textId="77777777"/>
    <w:p w:rsidR="00974C3E" w:rsidP="003C2C17" w:rsidRDefault="00974C3E" w14:paraId="3AEE9BFD" w14:textId="7B00D2CF">
      <w:pPr>
        <w:pStyle w:val="Titre3"/>
      </w:pPr>
      <w:r>
        <w:t>Modification de l’affectation de la liquidation – article 32</w:t>
      </w:r>
    </w:p>
    <w:p w:rsidR="00974C3E" w:rsidP="00974C3E" w:rsidRDefault="00974C3E" w14:paraId="5CFA7172" w14:textId="77777777"/>
    <w:p w:rsidR="00974C3E" w:rsidP="00974C3E" w:rsidRDefault="00DA7B32" w14:paraId="1DA52296" w14:textId="1C2CE9D9">
      <w:r>
        <w:t xml:space="preserve">En cas de liquidation, après apurement </w:t>
      </w:r>
      <w:r w:rsidRPr="003C2C17">
        <w:rPr>
          <w:strike/>
        </w:rPr>
        <w:t>de toutes les dettes et charges</w:t>
      </w:r>
      <w:r>
        <w:t xml:space="preserve"> </w:t>
      </w:r>
      <w:r w:rsidRPr="00DA7B32">
        <w:rPr>
          <w:highlight w:val="green"/>
        </w:rPr>
        <w:t>du passif</w:t>
      </w:r>
      <w:r>
        <w:t xml:space="preserve"> et des frais de liquidation ou consignation des sommes nécessaires à cette </w:t>
      </w:r>
      <w:r w:rsidRPr="00A84DE6">
        <w:t>fin</w:t>
      </w:r>
      <w:r w:rsidRPr="00DA7B32">
        <w:rPr>
          <w:highlight w:val="green"/>
        </w:rPr>
        <w:t xml:space="preserve"> </w:t>
      </w:r>
      <w:r w:rsidR="00A84DE6">
        <w:rPr>
          <w:highlight w:val="green"/>
        </w:rPr>
        <w:t xml:space="preserve">et </w:t>
      </w:r>
      <w:r w:rsidRPr="00DA7B32">
        <w:rPr>
          <w:highlight w:val="green"/>
        </w:rPr>
        <w:t>après remboursement de la somme réellement versée par les associés et non encore remboursée sur les parts</w:t>
      </w:r>
      <w:r>
        <w:t xml:space="preserve"> sous réserve des dispositions de l’article 31, </w:t>
      </w:r>
      <w:r w:rsidRPr="003C2C17">
        <w:rPr>
          <w:strike/>
        </w:rPr>
        <w:t>l’actif net sera réparti également entre toutes les parts après qu’elles auront été mises sur pied d’égalité quant à leur libération, soit par appel complémentaire, soit par remboursement partiel</w:t>
      </w:r>
      <w:r>
        <w:t xml:space="preserve"> le patrimoine subsistant est destiné à une affectation correspondant le plus possible à l’objet de la société.</w:t>
      </w:r>
    </w:p>
    <w:p w:rsidR="00A84DE6" w:rsidP="00974C3E" w:rsidRDefault="00A84DE6" w14:paraId="2B1C3ED0" w14:textId="77777777"/>
    <w:p w:rsidR="00A84DE6" w:rsidP="005D2001" w:rsidRDefault="00B77395" w14:paraId="77E77ECB" w14:textId="59EA50AD">
      <w:pPr>
        <w:pStyle w:val="Paragraphedeliste"/>
        <w:numPr>
          <w:ilvl w:val="0"/>
          <w:numId w:val="6"/>
        </w:numPr>
      </w:pPr>
      <w:r>
        <w:t>i</w:t>
      </w:r>
      <w:r w:rsidRPr="00154E88" w:rsidR="00A84DE6">
        <w:t xml:space="preserve">ntégrer une condition de l’agrément fédéral « entreprise sociale » (AR 28.06.19, art 6, §1, </w:t>
      </w:r>
      <w:r w:rsidR="00A84DE6">
        <w:t>8</w:t>
      </w:r>
      <w:r w:rsidRPr="00154E88" w:rsidR="00A84DE6">
        <w:t>°</w:t>
      </w:r>
      <w:r w:rsidR="00A84DE6">
        <w:t>)</w:t>
      </w:r>
    </w:p>
    <w:p w:rsidR="00A84DE6" w:rsidP="00A84DE6" w:rsidRDefault="00A84DE6" w14:paraId="6CF9333F" w14:textId="77777777"/>
    <w:p w:rsidR="00A84DE6" w:rsidP="00A84DE6" w:rsidRDefault="00A84DE6" w14:paraId="735C0A4A" w14:textId="77777777"/>
    <w:p w:rsidR="00A84DE6" w:rsidP="003C2C17" w:rsidRDefault="00A84DE6" w14:paraId="00315194" w14:textId="37694F83">
      <w:pPr>
        <w:pStyle w:val="Titre3"/>
      </w:pPr>
      <w:r>
        <w:t>Modification : rapport spécial – article 30</w:t>
      </w:r>
    </w:p>
    <w:p w:rsidR="00A84DE6" w:rsidP="00A84DE6" w:rsidRDefault="00A84DE6" w14:paraId="77A740BA" w14:textId="77777777"/>
    <w:p w:rsidR="00A84DE6" w:rsidP="00A84DE6" w:rsidRDefault="00A84DE6" w14:paraId="39DE52D7" w14:textId="17A64747">
      <w:r>
        <w:t>(Après le deuxième paragraphe se terminant par « la loi » et avant le troisième paragraphe commençant par « le conseil », insérer le paragraphe suivant)</w:t>
      </w:r>
    </w:p>
    <w:p w:rsidRPr="004B0DA8" w:rsidR="00A84DE6" w:rsidP="00A84DE6" w:rsidRDefault="00A84DE6" w14:paraId="6B14C5BF" w14:textId="3685A936">
      <w:pPr>
        <w:rPr>
          <w:highlight w:val="green"/>
        </w:rPr>
      </w:pPr>
      <w:r w:rsidRPr="004B0DA8">
        <w:rPr>
          <w:highlight w:val="green"/>
        </w:rPr>
        <w:t xml:space="preserve">L’organe d’administration </w:t>
      </w:r>
      <w:r w:rsidRPr="004B0DA8" w:rsidR="004B0DA8">
        <w:rPr>
          <w:highlight w:val="green"/>
        </w:rPr>
        <w:t xml:space="preserve">établit chaque année un rapport spécial sur l’exercice clôturé dans lequel il est fait au moins mention : </w:t>
      </w:r>
    </w:p>
    <w:p w:rsidRPr="004B0DA8" w:rsidR="004B0DA8" w:rsidP="004B0DA8" w:rsidRDefault="004B0DA8" w14:paraId="221C8DD5" w14:textId="1D95482D">
      <w:pPr>
        <w:pStyle w:val="Paragraphedeliste"/>
        <w:numPr>
          <w:ilvl w:val="0"/>
          <w:numId w:val="1"/>
        </w:numPr>
        <w:rPr>
          <w:highlight w:val="green"/>
        </w:rPr>
      </w:pPr>
      <w:r w:rsidRPr="004B0DA8">
        <w:rPr>
          <w:highlight w:val="green"/>
        </w:rPr>
        <w:t>des informations relatives aux démissions telles que prévues à l’article 6 :120 §2 du CSA ;</w:t>
      </w:r>
    </w:p>
    <w:p w:rsidRPr="004B0DA8" w:rsidR="004B0DA8" w:rsidP="004B0DA8" w:rsidRDefault="004B0DA8" w14:paraId="7E37701C" w14:textId="6CF94376">
      <w:pPr>
        <w:pStyle w:val="Paragraphedeliste"/>
        <w:numPr>
          <w:ilvl w:val="0"/>
          <w:numId w:val="1"/>
        </w:numPr>
        <w:rPr>
          <w:highlight w:val="green"/>
        </w:rPr>
      </w:pPr>
      <w:r w:rsidRPr="004B0DA8">
        <w:rPr>
          <w:highlight w:val="green"/>
        </w:rPr>
        <w:t>de la manière dont l’organe d’administration de la société contrôle l’application des conditions d’agrément de la société</w:t>
      </w:r>
    </w:p>
    <w:p w:rsidRPr="004B0DA8" w:rsidR="004B0DA8" w:rsidP="004B0DA8" w:rsidRDefault="004B0DA8" w14:paraId="14F74253" w14:textId="5FC594E5">
      <w:pPr>
        <w:pStyle w:val="Paragraphedeliste"/>
        <w:numPr>
          <w:ilvl w:val="0"/>
          <w:numId w:val="1"/>
        </w:numPr>
        <w:rPr>
          <w:highlight w:val="green"/>
        </w:rPr>
      </w:pPr>
      <w:r w:rsidRPr="004B0DA8">
        <w:rPr>
          <w:highlight w:val="green"/>
        </w:rPr>
        <w:t>des activités que la société a effectuées pour atteindre son objet</w:t>
      </w:r>
    </w:p>
    <w:p w:rsidRPr="004B0DA8" w:rsidR="004B0DA8" w:rsidP="004B0DA8" w:rsidRDefault="004B0DA8" w14:paraId="2D9F8780" w14:textId="39EE043C">
      <w:pPr>
        <w:pStyle w:val="Paragraphedeliste"/>
        <w:numPr>
          <w:ilvl w:val="0"/>
          <w:numId w:val="1"/>
        </w:numPr>
        <w:rPr>
          <w:highlight w:val="green"/>
        </w:rPr>
      </w:pPr>
      <w:r w:rsidRPr="004B0DA8">
        <w:rPr>
          <w:highlight w:val="green"/>
        </w:rPr>
        <w:t>des moyens que la société a mis en œuvre à cet effet.</w:t>
      </w:r>
    </w:p>
    <w:p w:rsidR="004B0DA8" w:rsidP="004B0DA8" w:rsidRDefault="004B0DA8" w14:paraId="352B1C4B" w14:textId="77777777">
      <w:r>
        <w:t>(suite de l’article non modifiée).</w:t>
      </w:r>
    </w:p>
    <w:p w:rsidR="004B0DA8" w:rsidP="004B0DA8" w:rsidRDefault="004B0DA8" w14:paraId="549B4B8C" w14:textId="77777777"/>
    <w:p w:rsidR="004B0DA8" w:rsidP="005D2001" w:rsidRDefault="00B77395" w14:paraId="039FFE49" w14:textId="7EB87A78">
      <w:pPr>
        <w:pStyle w:val="Paragraphedeliste"/>
        <w:numPr>
          <w:ilvl w:val="0"/>
          <w:numId w:val="6"/>
        </w:numPr>
      </w:pPr>
      <w:r>
        <w:t>i</w:t>
      </w:r>
      <w:r w:rsidRPr="00154E88" w:rsidR="004B0DA8">
        <w:t>ntégrer une condition de l’agrément fédéral « entreprise sociale » (AR 28.06.19, art 6, §</w:t>
      </w:r>
      <w:r w:rsidR="004B0DA8">
        <w:t>2)</w:t>
      </w:r>
    </w:p>
    <w:p w:rsidR="004B0DA8" w:rsidP="004B0DA8" w:rsidRDefault="004B0DA8" w14:paraId="0935DDAA" w14:textId="77777777"/>
    <w:p w:rsidR="004B0DA8" w:rsidP="004B0DA8" w:rsidRDefault="004B0DA8" w14:paraId="61ED3136" w14:textId="77777777"/>
    <w:p w:rsidR="00B77395" w:rsidP="002B2944" w:rsidRDefault="00B77395" w14:paraId="1B656BB2" w14:textId="357E041F">
      <w:pPr>
        <w:pBdr>
          <w:top w:val="single" w:color="auto" w:sz="4" w:space="1"/>
          <w:left w:val="single" w:color="auto" w:sz="4" w:space="4"/>
          <w:bottom w:val="single" w:color="auto" w:sz="4" w:space="1"/>
          <w:right w:val="single" w:color="auto" w:sz="4" w:space="4"/>
        </w:pBdr>
      </w:pPr>
      <w:r>
        <w:t xml:space="preserve">Sous réserve d’une ultime vérification, les modifications proposées ci-dessus permettent de remplir les conditions requises pour </w:t>
      </w:r>
      <w:r w:rsidRPr="002B2944">
        <w:t>l’</w:t>
      </w:r>
      <w:r w:rsidRPr="002B2944">
        <w:rPr>
          <w:b/>
          <w:bCs/>
        </w:rPr>
        <w:t>agrément fédéral</w:t>
      </w:r>
      <w:r>
        <w:t xml:space="preserve"> comme société coopérative « entreprise sociale ».</w:t>
      </w:r>
    </w:p>
    <w:p w:rsidR="00B77395" w:rsidP="002B2944" w:rsidRDefault="002B2944" w14:paraId="0BCF5947" w14:textId="704E5851">
      <w:pPr>
        <w:pBdr>
          <w:top w:val="single" w:color="auto" w:sz="4" w:space="1"/>
          <w:left w:val="single" w:color="auto" w:sz="4" w:space="4"/>
          <w:bottom w:val="single" w:color="auto" w:sz="4" w:space="1"/>
          <w:right w:val="single" w:color="auto" w:sz="4" w:space="4"/>
        </w:pBdr>
      </w:pPr>
      <w:r>
        <w:t xml:space="preserve">Pour le moment, cet agrément fédéral suffit pour remplir une des conditions requises pour être agréée comme </w:t>
      </w:r>
      <w:r w:rsidRPr="00E95DB3">
        <w:rPr>
          <w:b/>
          <w:bCs/>
        </w:rPr>
        <w:t>coopérative de crédit</w:t>
      </w:r>
      <w:r>
        <w:t xml:space="preserve"> par la Région de Bruxelles-Capitale.</w:t>
      </w:r>
    </w:p>
    <w:p w:rsidR="002B2944" w:rsidP="002B2944" w:rsidRDefault="002B2944" w14:paraId="45F9CE10" w14:textId="392AA497">
      <w:pPr>
        <w:pBdr>
          <w:top w:val="single" w:color="auto" w:sz="4" w:space="1"/>
          <w:left w:val="single" w:color="auto" w:sz="4" w:space="4"/>
          <w:bottom w:val="single" w:color="auto" w:sz="4" w:space="1"/>
          <w:right w:val="single" w:color="auto" w:sz="4" w:space="4"/>
        </w:pBdr>
      </w:pPr>
      <w:r>
        <w:t xml:space="preserve">Sauf si </w:t>
      </w:r>
      <w:r w:rsidR="00E95DB3">
        <w:t>souhaité</w:t>
      </w:r>
      <w:r>
        <w:t>, il ne serait donc pas nécessaire d’apporter d’autres modifications statutaires destinées à recevoir l’agrément régional « entreprise sociale et démocratique ».</w:t>
      </w:r>
    </w:p>
    <w:p w:rsidR="002B2944" w:rsidP="004B0DA8" w:rsidRDefault="002B2944" w14:paraId="409C17DC" w14:textId="77777777"/>
    <w:p w:rsidRPr="00A84DE6" w:rsidR="002B2944" w:rsidP="004B0DA8" w:rsidRDefault="002B2944" w14:paraId="5BE25693" w14:textId="4AC5C210"/>
    <w:sectPr w:rsidRPr="00A84DE6" w:rsidR="002B294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B74AD"/>
    <w:multiLevelType w:val="multilevel"/>
    <w:tmpl w:val="A3B60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1226002"/>
    <w:multiLevelType w:val="hybridMultilevel"/>
    <w:tmpl w:val="CC848538"/>
    <w:lvl w:ilvl="0" w:tplc="080C000B">
      <w:start w:val="1"/>
      <w:numFmt w:val="bullet"/>
      <w:lvlText w:val=""/>
      <w:lvlJc w:val="left"/>
      <w:pPr>
        <w:ind w:left="1440" w:hanging="360"/>
      </w:pPr>
      <w:rPr>
        <w:rFonts w:hint="default" w:ascii="Wingdings" w:hAnsi="Wingdings"/>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2" w15:restartNumberingAfterBreak="0">
    <w:nsid w:val="2A565200"/>
    <w:multiLevelType w:val="hybridMultilevel"/>
    <w:tmpl w:val="02A02F9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34473871"/>
    <w:multiLevelType w:val="hybridMultilevel"/>
    <w:tmpl w:val="5630E2C0"/>
    <w:lvl w:ilvl="0" w:tplc="DA8A6B86">
      <w:numFmt w:val="bullet"/>
      <w:lvlText w:val="-"/>
      <w:lvlJc w:val="left"/>
      <w:pPr>
        <w:ind w:left="720" w:hanging="360"/>
      </w:pPr>
      <w:rPr>
        <w:rFonts w:hint="default" w:ascii="Aptos" w:hAnsi="Aptos"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3DD54BE1"/>
    <w:multiLevelType w:val="hybridMultilevel"/>
    <w:tmpl w:val="F7229F12"/>
    <w:lvl w:ilvl="0" w:tplc="7040E0A0">
      <w:start w:val="3"/>
      <w:numFmt w:val="bullet"/>
      <w:lvlText w:val=""/>
      <w:lvlJc w:val="left"/>
      <w:pPr>
        <w:ind w:left="360" w:hanging="360"/>
      </w:pPr>
      <w:rPr>
        <w:rFonts w:hint="default" w:ascii="Wingdings" w:hAnsi="Wingdings" w:eastAsiaTheme="minorHAnsi" w:cstheme="minorBidi"/>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5" w15:restartNumberingAfterBreak="0">
    <w:nsid w:val="4FBC1397"/>
    <w:multiLevelType w:val="multilevel"/>
    <w:tmpl w:val="72E2B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54E0B40"/>
    <w:multiLevelType w:val="multilevel"/>
    <w:tmpl w:val="7406A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26207888">
    <w:abstractNumId w:val="3"/>
  </w:num>
  <w:num w:numId="2" w16cid:durableId="1560705833">
    <w:abstractNumId w:val="5"/>
  </w:num>
  <w:num w:numId="3" w16cid:durableId="26879202">
    <w:abstractNumId w:val="6"/>
  </w:num>
  <w:num w:numId="4" w16cid:durableId="1483349423">
    <w:abstractNumId w:val="0"/>
  </w:num>
  <w:num w:numId="5" w16cid:durableId="320736731">
    <w:abstractNumId w:val="2"/>
  </w:num>
  <w:num w:numId="6" w16cid:durableId="740910194">
    <w:abstractNumId w:val="4"/>
  </w:num>
  <w:num w:numId="7" w16cid:durableId="122907555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F51C4"/>
    <w:rsid w:val="001429E8"/>
    <w:rsid w:val="00154E88"/>
    <w:rsid w:val="001D7F62"/>
    <w:rsid w:val="00210211"/>
    <w:rsid w:val="00225B00"/>
    <w:rsid w:val="002732D9"/>
    <w:rsid w:val="00287553"/>
    <w:rsid w:val="002B2944"/>
    <w:rsid w:val="00390A14"/>
    <w:rsid w:val="003C2C17"/>
    <w:rsid w:val="00460D65"/>
    <w:rsid w:val="004B0DA8"/>
    <w:rsid w:val="004D64B0"/>
    <w:rsid w:val="005D2001"/>
    <w:rsid w:val="006F4E72"/>
    <w:rsid w:val="007002C2"/>
    <w:rsid w:val="007D7493"/>
    <w:rsid w:val="008344ED"/>
    <w:rsid w:val="008766E3"/>
    <w:rsid w:val="008C3332"/>
    <w:rsid w:val="009626AB"/>
    <w:rsid w:val="00974C3E"/>
    <w:rsid w:val="009860EC"/>
    <w:rsid w:val="00A14D3A"/>
    <w:rsid w:val="00A84DE6"/>
    <w:rsid w:val="00A92DF4"/>
    <w:rsid w:val="00B726F8"/>
    <w:rsid w:val="00B77395"/>
    <w:rsid w:val="00B77E0E"/>
    <w:rsid w:val="00BB13EB"/>
    <w:rsid w:val="00C079B6"/>
    <w:rsid w:val="00C50644"/>
    <w:rsid w:val="00CA5CAB"/>
    <w:rsid w:val="00CE43BE"/>
    <w:rsid w:val="00D31727"/>
    <w:rsid w:val="00D51381"/>
    <w:rsid w:val="00D97890"/>
    <w:rsid w:val="00DA7B32"/>
    <w:rsid w:val="00E168E7"/>
    <w:rsid w:val="00E30A4D"/>
    <w:rsid w:val="00E41ED0"/>
    <w:rsid w:val="00E6574F"/>
    <w:rsid w:val="00E95DB3"/>
    <w:rsid w:val="00EE38C4"/>
    <w:rsid w:val="00EE46FD"/>
    <w:rsid w:val="00F25E2D"/>
    <w:rsid w:val="00F6488C"/>
    <w:rsid w:val="00F760D3"/>
    <w:rsid w:val="00FB59B0"/>
    <w:rsid w:val="0416B972"/>
    <w:rsid w:val="0C4CDBD8"/>
    <w:rsid w:val="14FD498C"/>
    <w:rsid w:val="277AE081"/>
    <w:rsid w:val="2B30966E"/>
    <w:rsid w:val="2D4ED2EB"/>
    <w:rsid w:val="2EEA6028"/>
    <w:rsid w:val="2FA3180B"/>
    <w:rsid w:val="367C5AF1"/>
    <w:rsid w:val="3C63D0F4"/>
    <w:rsid w:val="3C65EA48"/>
    <w:rsid w:val="46FEC482"/>
    <w:rsid w:val="472D29B5"/>
    <w:rsid w:val="49BEF794"/>
    <w:rsid w:val="5707D5A0"/>
    <w:rsid w:val="65007679"/>
    <w:rsid w:val="66163DB6"/>
    <w:rsid w:val="6A5DF91B"/>
    <w:rsid w:val="6A6923DD"/>
    <w:rsid w:val="70206494"/>
    <w:rsid w:val="7B82D2F1"/>
    <w:rsid w:val="7F90AF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DA6C"/>
  <w15:chartTrackingRefBased/>
  <w15:docId w15:val="{299C24D6-7316-40A9-BEE1-324A8856D8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1727"/>
    <w:pPr>
      <w:jc w:val="both"/>
    </w:pPr>
    <w:rPr>
      <w:sz w:val="20"/>
    </w:rPr>
  </w:style>
  <w:style w:type="paragraph" w:styleId="Titre1">
    <w:name w:val="heading 1"/>
    <w:basedOn w:val="Normal"/>
    <w:next w:val="Normal"/>
    <w:link w:val="Titre1Car"/>
    <w:uiPriority w:val="9"/>
    <w:qFormat/>
    <w:rsid w:val="006F4E72"/>
    <w:pPr>
      <w:keepNext/>
      <w:keepLines/>
      <w:spacing w:before="360" w:after="80"/>
      <w:jc w:val="center"/>
      <w:outlineLvl w:val="0"/>
    </w:pPr>
    <w:rPr>
      <w:rFonts w:asciiTheme="majorHAnsi" w:hAnsiTheme="majorHAnsi" w:eastAsiaTheme="majorEastAsia" w:cstheme="majorBidi"/>
      <w:caps/>
      <w:sz w:val="28"/>
      <w:szCs w:val="40"/>
      <w:u w:val="single"/>
    </w:rPr>
  </w:style>
  <w:style w:type="paragraph" w:styleId="Titre2">
    <w:name w:val="heading 2"/>
    <w:basedOn w:val="Normal"/>
    <w:next w:val="Normal"/>
    <w:link w:val="Titre2Car"/>
    <w:uiPriority w:val="9"/>
    <w:unhideWhenUsed/>
    <w:qFormat/>
    <w:rsid w:val="003C2C17"/>
    <w:pPr>
      <w:keepNext/>
      <w:keepLines/>
      <w:spacing w:before="160" w:after="80"/>
      <w:outlineLvl w:val="1"/>
    </w:pPr>
    <w:rPr>
      <w:rFonts w:asciiTheme="majorHAnsi" w:hAnsiTheme="majorHAnsi" w:eastAsiaTheme="majorEastAsia" w:cstheme="majorBidi"/>
      <w:sz w:val="24"/>
      <w:szCs w:val="32"/>
      <w:u w:val="single"/>
    </w:rPr>
  </w:style>
  <w:style w:type="paragraph" w:styleId="Titre3">
    <w:name w:val="heading 3"/>
    <w:basedOn w:val="Normal"/>
    <w:next w:val="Normal"/>
    <w:link w:val="Titre3Car"/>
    <w:uiPriority w:val="9"/>
    <w:unhideWhenUsed/>
    <w:qFormat/>
    <w:rsid w:val="003C2C17"/>
    <w:pPr>
      <w:keepNext/>
      <w:keepLines/>
      <w:spacing w:before="160" w:after="80"/>
      <w:outlineLvl w:val="2"/>
    </w:pPr>
    <w:rPr>
      <w:rFonts w:eastAsiaTheme="majorEastAsia" w:cstheme="majorBidi"/>
      <w:i/>
      <w:szCs w:val="28"/>
      <w:u w:val="single"/>
    </w:rPr>
  </w:style>
  <w:style w:type="paragraph" w:styleId="Titre4">
    <w:name w:val="heading 4"/>
    <w:basedOn w:val="Normal"/>
    <w:next w:val="Normal"/>
    <w:link w:val="Titre4Car"/>
    <w:uiPriority w:val="9"/>
    <w:semiHidden/>
    <w:unhideWhenUsed/>
    <w:qFormat/>
    <w:rsid w:val="000F51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51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51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51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51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51C4"/>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itre">
    <w:name w:val="Title"/>
    <w:basedOn w:val="Normal"/>
    <w:next w:val="Normal"/>
    <w:link w:val="TitreCar"/>
    <w:uiPriority w:val="10"/>
    <w:qFormat/>
    <w:rsid w:val="00D31727"/>
    <w:pPr>
      <w:spacing w:after="80"/>
      <w:contextualSpacing/>
      <w:jc w:val="center"/>
    </w:pPr>
    <w:rPr>
      <w:rFonts w:asciiTheme="majorHAnsi" w:hAnsiTheme="majorHAnsi" w:eastAsiaTheme="majorEastAsia" w:cstheme="majorBidi"/>
      <w:caps/>
      <w:spacing w:val="-10"/>
      <w:kern w:val="28"/>
      <w:sz w:val="32"/>
      <w:szCs w:val="56"/>
    </w:rPr>
  </w:style>
  <w:style w:type="character" w:styleId="TitreCar" w:customStyle="1">
    <w:name w:val="Titre Car"/>
    <w:basedOn w:val="Policepardfaut"/>
    <w:link w:val="Titre"/>
    <w:uiPriority w:val="10"/>
    <w:rsid w:val="00D31727"/>
    <w:rPr>
      <w:rFonts w:asciiTheme="majorHAnsi" w:hAnsiTheme="majorHAnsi" w:eastAsiaTheme="majorEastAsia" w:cstheme="majorBidi"/>
      <w:caps/>
      <w:spacing w:val="-10"/>
      <w:kern w:val="28"/>
      <w:sz w:val="32"/>
      <w:szCs w:val="56"/>
    </w:rPr>
  </w:style>
  <w:style w:type="character" w:styleId="Titre1Car" w:customStyle="1">
    <w:name w:val="Titre 1 Car"/>
    <w:basedOn w:val="Policepardfaut"/>
    <w:link w:val="Titre1"/>
    <w:uiPriority w:val="9"/>
    <w:rsid w:val="006F4E72"/>
    <w:rPr>
      <w:rFonts w:asciiTheme="majorHAnsi" w:hAnsiTheme="majorHAnsi" w:eastAsiaTheme="majorEastAsia" w:cstheme="majorBidi"/>
      <w:caps/>
      <w:sz w:val="28"/>
      <w:szCs w:val="40"/>
      <w:u w:val="single"/>
    </w:rPr>
  </w:style>
  <w:style w:type="character" w:styleId="Titre2Car" w:customStyle="1">
    <w:name w:val="Titre 2 Car"/>
    <w:basedOn w:val="Policepardfaut"/>
    <w:link w:val="Titre2"/>
    <w:uiPriority w:val="9"/>
    <w:rsid w:val="003C2C17"/>
    <w:rPr>
      <w:rFonts w:asciiTheme="majorHAnsi" w:hAnsiTheme="majorHAnsi" w:eastAsiaTheme="majorEastAsia" w:cstheme="majorBidi"/>
      <w:sz w:val="24"/>
      <w:szCs w:val="32"/>
      <w:u w:val="single"/>
    </w:rPr>
  </w:style>
  <w:style w:type="character" w:styleId="Titre3Car" w:customStyle="1">
    <w:name w:val="Titre 3 Car"/>
    <w:basedOn w:val="Policepardfaut"/>
    <w:link w:val="Titre3"/>
    <w:uiPriority w:val="9"/>
    <w:rsid w:val="003C2C17"/>
    <w:rPr>
      <w:rFonts w:eastAsiaTheme="majorEastAsia" w:cstheme="majorBidi"/>
      <w:i/>
      <w:sz w:val="20"/>
      <w:szCs w:val="28"/>
      <w:u w:val="single"/>
    </w:rPr>
  </w:style>
  <w:style w:type="character" w:styleId="Titre4Car" w:customStyle="1">
    <w:name w:val="Titre 4 Car"/>
    <w:basedOn w:val="Policepardfaut"/>
    <w:link w:val="Titre4"/>
    <w:uiPriority w:val="9"/>
    <w:semiHidden/>
    <w:rsid w:val="000F51C4"/>
    <w:rPr>
      <w:rFonts w:eastAsiaTheme="majorEastAsia" w:cstheme="majorBidi"/>
      <w:i/>
      <w:iCs/>
      <w:color w:val="0F4761" w:themeColor="accent1" w:themeShade="BF"/>
      <w:sz w:val="20"/>
    </w:rPr>
  </w:style>
  <w:style w:type="character" w:styleId="Titre5Car" w:customStyle="1">
    <w:name w:val="Titre 5 Car"/>
    <w:basedOn w:val="Policepardfaut"/>
    <w:link w:val="Titre5"/>
    <w:uiPriority w:val="9"/>
    <w:semiHidden/>
    <w:rsid w:val="000F51C4"/>
    <w:rPr>
      <w:rFonts w:eastAsiaTheme="majorEastAsia" w:cstheme="majorBidi"/>
      <w:color w:val="0F4761" w:themeColor="accent1" w:themeShade="BF"/>
      <w:sz w:val="20"/>
    </w:rPr>
  </w:style>
  <w:style w:type="character" w:styleId="Titre6Car" w:customStyle="1">
    <w:name w:val="Titre 6 Car"/>
    <w:basedOn w:val="Policepardfaut"/>
    <w:link w:val="Titre6"/>
    <w:uiPriority w:val="9"/>
    <w:semiHidden/>
    <w:rsid w:val="000F51C4"/>
    <w:rPr>
      <w:rFonts w:eastAsiaTheme="majorEastAsia" w:cstheme="majorBidi"/>
      <w:i/>
      <w:iCs/>
      <w:color w:val="595959" w:themeColor="text1" w:themeTint="A6"/>
      <w:sz w:val="20"/>
    </w:rPr>
  </w:style>
  <w:style w:type="character" w:styleId="Titre7Car" w:customStyle="1">
    <w:name w:val="Titre 7 Car"/>
    <w:basedOn w:val="Policepardfaut"/>
    <w:link w:val="Titre7"/>
    <w:uiPriority w:val="9"/>
    <w:semiHidden/>
    <w:rsid w:val="000F51C4"/>
    <w:rPr>
      <w:rFonts w:eastAsiaTheme="majorEastAsia" w:cstheme="majorBidi"/>
      <w:color w:val="595959" w:themeColor="text1" w:themeTint="A6"/>
      <w:sz w:val="20"/>
    </w:rPr>
  </w:style>
  <w:style w:type="character" w:styleId="Titre8Car" w:customStyle="1">
    <w:name w:val="Titre 8 Car"/>
    <w:basedOn w:val="Policepardfaut"/>
    <w:link w:val="Titre8"/>
    <w:uiPriority w:val="9"/>
    <w:semiHidden/>
    <w:rsid w:val="000F51C4"/>
    <w:rPr>
      <w:rFonts w:eastAsiaTheme="majorEastAsia" w:cstheme="majorBidi"/>
      <w:i/>
      <w:iCs/>
      <w:color w:val="272727" w:themeColor="text1" w:themeTint="D8"/>
      <w:sz w:val="20"/>
    </w:rPr>
  </w:style>
  <w:style w:type="character" w:styleId="Titre9Car" w:customStyle="1">
    <w:name w:val="Titre 9 Car"/>
    <w:basedOn w:val="Policepardfaut"/>
    <w:link w:val="Titre9"/>
    <w:uiPriority w:val="9"/>
    <w:semiHidden/>
    <w:rsid w:val="000F51C4"/>
    <w:rPr>
      <w:rFonts w:eastAsiaTheme="majorEastAsia" w:cstheme="majorBidi"/>
      <w:color w:val="272727" w:themeColor="text1" w:themeTint="D8"/>
      <w:sz w:val="20"/>
    </w:rPr>
  </w:style>
  <w:style w:type="paragraph" w:styleId="Sous-titre">
    <w:name w:val="Subtitle"/>
    <w:basedOn w:val="Normal"/>
    <w:next w:val="Normal"/>
    <w:link w:val="Sous-titreCar"/>
    <w:uiPriority w:val="11"/>
    <w:qFormat/>
    <w:rsid w:val="000F51C4"/>
    <w:pPr>
      <w:numPr>
        <w:ilvl w:val="1"/>
      </w:numPr>
      <w:spacing w:after="160"/>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F51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51C4"/>
    <w:pPr>
      <w:spacing w:before="160" w:after="160"/>
      <w:jc w:val="center"/>
    </w:pPr>
    <w:rPr>
      <w:i/>
      <w:iCs/>
      <w:color w:val="404040" w:themeColor="text1" w:themeTint="BF"/>
    </w:rPr>
  </w:style>
  <w:style w:type="character" w:styleId="CitationCar" w:customStyle="1">
    <w:name w:val="Citation Car"/>
    <w:basedOn w:val="Policepardfaut"/>
    <w:link w:val="Citation"/>
    <w:uiPriority w:val="29"/>
    <w:rsid w:val="000F51C4"/>
    <w:rPr>
      <w:i/>
      <w:iCs/>
      <w:color w:val="404040" w:themeColor="text1" w:themeTint="BF"/>
      <w:sz w:val="20"/>
    </w:rPr>
  </w:style>
  <w:style w:type="paragraph" w:styleId="Paragraphedeliste">
    <w:name w:val="List Paragraph"/>
    <w:basedOn w:val="Normal"/>
    <w:uiPriority w:val="34"/>
    <w:qFormat/>
    <w:rsid w:val="000F51C4"/>
    <w:pPr>
      <w:ind w:left="720"/>
      <w:contextualSpacing/>
    </w:pPr>
  </w:style>
  <w:style w:type="character" w:styleId="Accentuationintense">
    <w:name w:val="Intense Emphasis"/>
    <w:basedOn w:val="Policepardfaut"/>
    <w:uiPriority w:val="21"/>
    <w:qFormat/>
    <w:rsid w:val="000F51C4"/>
    <w:rPr>
      <w:i/>
      <w:iCs/>
      <w:color w:val="0F4761" w:themeColor="accent1" w:themeShade="BF"/>
    </w:rPr>
  </w:style>
  <w:style w:type="paragraph" w:styleId="Citationintense">
    <w:name w:val="Intense Quote"/>
    <w:basedOn w:val="Normal"/>
    <w:next w:val="Normal"/>
    <w:link w:val="CitationintenseCar"/>
    <w:uiPriority w:val="30"/>
    <w:qFormat/>
    <w:rsid w:val="000F51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0F51C4"/>
    <w:rPr>
      <w:i/>
      <w:iCs/>
      <w:color w:val="0F4761" w:themeColor="accent1" w:themeShade="BF"/>
      <w:sz w:val="20"/>
    </w:rPr>
  </w:style>
  <w:style w:type="character" w:styleId="Rfrenceintense">
    <w:name w:val="Intense Reference"/>
    <w:basedOn w:val="Policepardfaut"/>
    <w:uiPriority w:val="32"/>
    <w:qFormat/>
    <w:rsid w:val="000F51C4"/>
    <w:rPr>
      <w:b/>
      <w:bCs/>
      <w:smallCaps/>
      <w:color w:val="0F4761" w:themeColor="accent1" w:themeShade="BF"/>
      <w:spacing w:val="5"/>
    </w:rPr>
  </w:style>
  <w:style w:type="character" w:styleId="Lienhypertexte">
    <w:name w:val="Hyperlink"/>
    <w:basedOn w:val="Policepardfaut"/>
    <w:uiPriority w:val="99"/>
    <w:unhideWhenUsed/>
    <w:rsid w:val="001D7F62"/>
    <w:rPr>
      <w:color w:val="467886" w:themeColor="hyperlink"/>
      <w:u w:val="single"/>
    </w:rPr>
  </w:style>
  <w:style w:type="character" w:styleId="Mentionnonrsolue">
    <w:name w:val="Unresolved Mention"/>
    <w:basedOn w:val="Policepardfaut"/>
    <w:uiPriority w:val="99"/>
    <w:semiHidden/>
    <w:unhideWhenUsed/>
    <w:rsid w:val="001D7F62"/>
    <w:rPr>
      <w:color w:val="605E5C"/>
      <w:shd w:val="clear" w:color="auto" w:fill="E1DFDD"/>
    </w:rPr>
  </w:style>
  <w:style w:type="table" w:styleId="Grilledutableau">
    <w:name w:val="Table Grid"/>
    <w:basedOn w:val="TableauNormal"/>
    <w:uiPriority w:val="39"/>
    <w:rsid w:val="00FB59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75099">
      <w:bodyDiv w:val="1"/>
      <w:marLeft w:val="0"/>
      <w:marRight w:val="0"/>
      <w:marTop w:val="0"/>
      <w:marBottom w:val="0"/>
      <w:divBdr>
        <w:top w:val="none" w:sz="0" w:space="0" w:color="auto"/>
        <w:left w:val="none" w:sz="0" w:space="0" w:color="auto"/>
        <w:bottom w:val="none" w:sz="0" w:space="0" w:color="auto"/>
        <w:right w:val="none" w:sz="0" w:space="0" w:color="auto"/>
      </w:divBdr>
    </w:div>
    <w:div w:id="491990885">
      <w:bodyDiv w:val="1"/>
      <w:marLeft w:val="0"/>
      <w:marRight w:val="0"/>
      <w:marTop w:val="0"/>
      <w:marBottom w:val="0"/>
      <w:divBdr>
        <w:top w:val="none" w:sz="0" w:space="0" w:color="auto"/>
        <w:left w:val="none" w:sz="0" w:space="0" w:color="auto"/>
        <w:bottom w:val="none" w:sz="0" w:space="0" w:color="auto"/>
        <w:right w:val="none" w:sz="0" w:space="0" w:color="auto"/>
      </w:divBdr>
    </w:div>
    <w:div w:id="606935288">
      <w:bodyDiv w:val="1"/>
      <w:marLeft w:val="0"/>
      <w:marRight w:val="0"/>
      <w:marTop w:val="0"/>
      <w:marBottom w:val="0"/>
      <w:divBdr>
        <w:top w:val="none" w:sz="0" w:space="0" w:color="auto"/>
        <w:left w:val="none" w:sz="0" w:space="0" w:color="auto"/>
        <w:bottom w:val="none" w:sz="0" w:space="0" w:color="auto"/>
        <w:right w:val="none" w:sz="0" w:space="0" w:color="auto"/>
      </w:divBdr>
    </w:div>
    <w:div w:id="1117261622">
      <w:bodyDiv w:val="1"/>
      <w:marLeft w:val="0"/>
      <w:marRight w:val="0"/>
      <w:marTop w:val="0"/>
      <w:marBottom w:val="0"/>
      <w:divBdr>
        <w:top w:val="none" w:sz="0" w:space="0" w:color="auto"/>
        <w:left w:val="none" w:sz="0" w:space="0" w:color="auto"/>
        <w:bottom w:val="none" w:sz="0" w:space="0" w:color="auto"/>
        <w:right w:val="none" w:sz="0" w:space="0" w:color="auto"/>
      </w:divBdr>
    </w:div>
    <w:div w:id="1338272331">
      <w:bodyDiv w:val="1"/>
      <w:marLeft w:val="0"/>
      <w:marRight w:val="0"/>
      <w:marTop w:val="0"/>
      <w:marBottom w:val="0"/>
      <w:divBdr>
        <w:top w:val="none" w:sz="0" w:space="0" w:color="auto"/>
        <w:left w:val="none" w:sz="0" w:space="0" w:color="auto"/>
        <w:bottom w:val="none" w:sz="0" w:space="0" w:color="auto"/>
        <w:right w:val="none" w:sz="0" w:space="0" w:color="auto"/>
      </w:divBdr>
    </w:div>
    <w:div w:id="1833637478">
      <w:bodyDiv w:val="1"/>
      <w:marLeft w:val="0"/>
      <w:marRight w:val="0"/>
      <w:marTop w:val="0"/>
      <w:marBottom w:val="0"/>
      <w:divBdr>
        <w:top w:val="none" w:sz="0" w:space="0" w:color="auto"/>
        <w:left w:val="none" w:sz="0" w:space="0" w:color="auto"/>
        <w:bottom w:val="none" w:sz="0" w:space="0" w:color="auto"/>
        <w:right w:val="none" w:sz="0" w:space="0" w:color="auto"/>
      </w:divBdr>
    </w:div>
    <w:div w:id="19636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B3F2-4551-4EF2-B781-DB8701E68A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Fabien Lambert</dc:creator>
  <keywords/>
  <dc:description/>
  <lastModifiedBy>CitizenFund</lastModifiedBy>
  <revision>14</revision>
  <dcterms:created xsi:type="dcterms:W3CDTF">2024-12-16T12:58:00.0000000Z</dcterms:created>
  <dcterms:modified xsi:type="dcterms:W3CDTF">2025-05-06T08:30:12.5072375Z</dcterms:modified>
</coreProperties>
</file>